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454023</w:t>
      </w:r>
    </w:p>
    <w:p>
      <w:pPr>
        <w:spacing w:line="600" w:lineRule="auto"/>
        <w:ind w:left="2000" w:hanging="2000" w:hangingChars="500"/>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ascii="楷体" w:hAnsi="楷体" w:eastAsia="楷体" w:cs="楷体"/>
          <w:spacing w:val="-10"/>
          <w:sz w:val="40"/>
          <w:szCs w:val="40"/>
        </w:rPr>
        <w:t>河北地质职工大学（河北省地质矿产勘</w:t>
      </w:r>
      <w:r>
        <w:rPr>
          <w:rFonts w:ascii="楷体" w:hAnsi="楷体" w:eastAsia="楷体" w:cs="楷体"/>
          <w:spacing w:val="-3"/>
          <w:sz w:val="40"/>
          <w:szCs w:val="40"/>
        </w:rPr>
        <w:t>查开发局技工学校）</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pP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rPr>
          <w:rFonts w:ascii="黑体" w:hAnsi="黑体" w:eastAsia="黑体" w:cs="黑体"/>
          <w:b/>
          <w:bCs/>
          <w:sz w:val="72"/>
          <w:szCs w:val="96"/>
        </w:rPr>
      </w:pPr>
    </w:p>
    <w:p>
      <w:pPr>
        <w:rPr>
          <w:rFonts w:ascii="黑体" w:hAnsi="黑体" w:eastAsia="黑体" w:cs="黑体"/>
          <w:b/>
          <w:bCs/>
          <w:sz w:val="72"/>
          <w:szCs w:val="96"/>
        </w:rPr>
      </w:pPr>
    </w:p>
    <w:p>
      <w:pPr>
        <w:rPr>
          <w:rFonts w:ascii="黑体" w:hAnsi="黑体" w:eastAsia="黑体" w:cs="黑体"/>
          <w:b/>
          <w:bCs/>
          <w:sz w:val="72"/>
          <w:szCs w:val="96"/>
        </w:rPr>
      </w:pPr>
      <w:r>
        <w:rPr>
          <w:rFonts w:hint="eastAsia" w:ascii="黑体" w:hAnsi="黑体" w:eastAsia="黑体" w:cs="黑体"/>
          <w:b/>
          <w:bCs/>
          <w:sz w:val="72"/>
          <w:szCs w:val="96"/>
        </w:rPr>
        <w:t>2023年度部门决算公开文本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河北地质职工大学</w:t>
      </w:r>
    </w:p>
    <w:p>
      <w:pPr>
        <w:snapToGrid w:val="0"/>
        <w:jc w:val="cente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（河北省地质矿产勘查开发局技工学校）</w:t>
      </w:r>
    </w:p>
    <w:p>
      <w:pPr>
        <w:snapToGrid w:val="0"/>
        <w:jc w:val="cente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2041" w:right="1531" w:bottom="2041"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二〇二四年八</w:t>
      </w: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pPr>
        <w:pStyle w:val="25"/>
        <w:numPr>
          <w:ilvl w:val="0"/>
          <w:numId w:val="0"/>
        </w:numPr>
        <w:spacing w:line="240" w:lineRule="auto"/>
        <w:ind w:leftChars="0"/>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default" w:ascii="Arial" w:hAnsi="Arial" w:eastAsia="Arial" w:cs="Arial"/>
          <w:i w:val="0"/>
          <w:iCs w:val="0"/>
          <w:caps w:val="0"/>
          <w:color w:val="000000"/>
          <w:spacing w:val="0"/>
          <w:sz w:val="18"/>
          <w:szCs w:val="18"/>
          <w:highlight w:val="none"/>
          <w:shd w:val="clear" w:fill="FFFFFF"/>
        </w:rPr>
        <w:t> </w:t>
      </w:r>
      <w:r>
        <w:rPr>
          <w:rFonts w:hint="eastAsia" w:ascii="Arial" w:hAnsi="Arial" w:eastAsia="宋体" w:cs="Arial"/>
          <w:i w:val="0"/>
          <w:iCs w:val="0"/>
          <w:caps w:val="0"/>
          <w:color w:val="000000"/>
          <w:spacing w:val="0"/>
          <w:sz w:val="18"/>
          <w:szCs w:val="18"/>
          <w:highlight w:val="none"/>
          <w:shd w:val="clear" w:fill="FFFFFF"/>
          <w:lang w:val="en-US" w:eastAsia="zh-CN"/>
        </w:rPr>
        <w:t xml:space="preserve">      </w:t>
      </w: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负责职工培训和在职继续教育，为省地勘系统培养钻探技工和地质类普通专科层次人才；参与制定全省地质干部教育培训规划，研究拟定全省地质干部培训方案。</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 xx个，具体情况如下：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pPr>
              <w:spacing w:line="560" w:lineRule="exact"/>
              <w:rPr>
                <w:rFonts w:ascii="仿宋_GB2312" w:hAnsi="Calibri" w:eastAsia="仿宋_GB2312" w:cs="ArialUnicodeMS"/>
                <w:kern w:val="0"/>
                <w:sz w:val="28"/>
                <w:szCs w:val="28"/>
              </w:rPr>
            </w:pPr>
            <w:r>
              <w:rPr>
                <w:rFonts w:hint="default" w:ascii="仿宋_GB2312" w:hAnsi="Calibri" w:eastAsia="仿宋_GB2312" w:cs="ArialUnicodeMS"/>
                <w:kern w:val="0"/>
                <w:sz w:val="28"/>
                <w:szCs w:val="28"/>
              </w:rPr>
              <w:t>河北地质职工大学（河北省地质矿产勘查开发局技工学校）</w:t>
            </w:r>
          </w:p>
        </w:tc>
        <w:tc>
          <w:tcPr>
            <w:tcW w:w="2445" w:type="dxa"/>
          </w:tcPr>
          <w:p>
            <w:pPr>
              <w:spacing w:line="560" w:lineRule="exact"/>
              <w:jc w:val="center"/>
              <w:rPr>
                <w:rFonts w:ascii="仿宋_GB2312" w:hAnsi="Calibri" w:eastAsia="仿宋_GB2312" w:cs="ArialUnicodeMS"/>
                <w:kern w:val="0"/>
                <w:sz w:val="28"/>
                <w:szCs w:val="28"/>
              </w:rPr>
            </w:pPr>
            <w:r>
              <w:rPr>
                <w:rFonts w:hint="default" w:ascii="仿宋_GB2312" w:hAnsi="Calibri" w:eastAsia="仿宋_GB2312" w:cs="ArialUnicodeMS"/>
                <w:kern w:val="0"/>
                <w:sz w:val="28"/>
                <w:szCs w:val="28"/>
              </w:rPr>
              <w:t>财政补助事业</w:t>
            </w:r>
            <w:r>
              <w:rPr>
                <w:rFonts w:hint="eastAsia" w:ascii="仿宋_GB2312" w:hAnsi="Calibri" w:eastAsia="仿宋_GB2312" w:cs="ArialUnicodeMS"/>
                <w:kern w:val="0"/>
                <w:sz w:val="28"/>
                <w:szCs w:val="28"/>
                <w:lang w:val="en-US" w:eastAsia="zh-CN"/>
              </w:rPr>
              <w:t>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财政性资金定额或定向补助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编制单位：河北地质职工大学</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12,271.83</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4,691.40</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16,988.65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8.03</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16,971.27</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17,005.65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32.99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17,005.65</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17,005.65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编制单位：河北地质职工大学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16,971.27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12,271.83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4,691.40</w:t>
            </w: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教育支出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16,954.27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12,254.83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4,691.40</w:t>
            </w: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普通教育</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395.04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395.04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2050205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高等教育</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395.04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395.04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职业教育</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16,559.23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11,859.80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4,691.40</w:t>
            </w: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2050305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高等职业教育</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16,559.23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11,859.80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4,691.40</w:t>
            </w: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自然资源海洋气象等支出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22001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自然资源事务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2200113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地质矿产资源与环境调查</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编制单位：河北地质职工大学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17,005.65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4,867.37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12,138.28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16,988.65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4,867.37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12,121.28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普通教育</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395.04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395.04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高等教育</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395.04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395.04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20503</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职业教育</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16,593.62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4,867.37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11,726.25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2050305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高等职业教育</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16,593.62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4,867.37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11,726.25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自然资源海洋气象等支出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22001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自然资源事务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2200113</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地质矿产资源与环境调查</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编制单位：河北地质职工大学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12,271.83</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12,254.83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12,254.83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17.00</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17.00</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12,271.83</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12,271.83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12,271.83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12,271.83</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12,271.83</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12,271.83</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41"/>
        <w:gridCol w:w="2416"/>
        <w:gridCol w:w="534"/>
        <w:gridCol w:w="1149"/>
        <w:gridCol w:w="1204"/>
        <w:gridCol w:w="479"/>
        <w:gridCol w:w="19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编制单位：河北地质职工大学</w:t>
            </w:r>
          </w:p>
        </w:tc>
        <w:tc>
          <w:tcPr>
            <w:tcW w:w="155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12,271.83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3,746.04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8,525.79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12,254.83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3,746.04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8,508.79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普通教育</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395.04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395.04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高等教育</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395.04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395.04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20503</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职业教育</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11,859.80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3,746.04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8,113.76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2050305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高等职业教育</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11,859.80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3,746.04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8,113.76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自然资源海洋气象等支出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22001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自然资源事务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2200113</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地质矿产资源与环境调查</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编制单位：河北地质职工大学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3,215.85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612.99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533.24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289.17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307.79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512.44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257.07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192.79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241.95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75.33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193.07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530.19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525.70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3,746.04</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编制单位：河北地质职工大学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w:t>
            </w:r>
            <w:r>
              <w:rPr>
                <w:rFonts w:hint="default" w:ascii="方正仿宋_GB2312" w:hAnsi="方正仿宋_GB2312" w:eastAsia="方正仿宋_GB2312" w:cs="方正仿宋_GB2312"/>
                <w:i w:val="0"/>
                <w:iCs w:val="0"/>
                <w:color w:val="000000"/>
                <w:kern w:val="0"/>
                <w:sz w:val="20"/>
                <w:szCs w:val="20"/>
                <w:highlight w:val="none"/>
                <w:u w:val="none"/>
                <w:lang w:val="en-US" w:eastAsia="zh-CN" w:bidi="ar"/>
              </w:rPr>
              <w:t>本年度无相关收入（或支出、收支及结转结余等）情况，按要求空表列示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编制单位：河北地质职工大学</w:t>
            </w:r>
          </w:p>
        </w:tc>
        <w:tc>
          <w:tcPr>
            <w:tcW w:w="1666"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041"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w:t>
            </w:r>
            <w:r>
              <w:rPr>
                <w:rFonts w:hint="default" w:ascii="方正仿宋_GB2312" w:hAnsi="方正仿宋_GB2312" w:eastAsia="方正仿宋_GB2312" w:cs="方正仿宋_GB2312"/>
                <w:i w:val="0"/>
                <w:iCs w:val="0"/>
                <w:color w:val="000000"/>
                <w:kern w:val="0"/>
                <w:sz w:val="20"/>
                <w:szCs w:val="20"/>
                <w:highlight w:val="none"/>
                <w:u w:val="none"/>
                <w:lang w:val="en-US" w:eastAsia="zh-CN" w:bidi="ar"/>
              </w:rPr>
              <w:t>本年度无相关收入（或支出、收支及结转结余等）情况，按要求空表列示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w:t>
            </w:r>
            <w:bookmarkStart w:id="0" w:name="_GoBack"/>
            <w:bookmarkEnd w:id="0"/>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单位：河北地质职工大学</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w:t>
            </w:r>
            <w:r>
              <w:rPr>
                <w:rFonts w:hint="default" w:ascii="方正仿宋_GB2312" w:hAnsi="方正仿宋_GB2312" w:eastAsia="方正仿宋_GB2312" w:cs="方正仿宋_GB2312"/>
                <w:i w:val="0"/>
                <w:iCs w:val="0"/>
                <w:color w:val="000000"/>
                <w:kern w:val="0"/>
                <w:sz w:val="20"/>
                <w:szCs w:val="20"/>
                <w:highlight w:val="none"/>
                <w:u w:val="none"/>
                <w:lang w:val="en-US" w:eastAsia="zh-CN" w:bidi="ar"/>
              </w:rPr>
              <w:t>本年度无相关收入（或支出、收支及结转结余等）情况，按要求空表列示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202</w:t>
      </w:r>
      <w:r>
        <w:rPr>
          <w:rFonts w:hint="eastAsia" w:ascii="黑体" w:hAnsi="宋体" w:eastAsia="黑体" w:cs="黑体"/>
          <w:i w:val="0"/>
          <w:iCs w:val="0"/>
          <w:caps w:val="0"/>
          <w:color w:val="000000"/>
          <w:spacing w:val="0"/>
          <w:sz w:val="72"/>
          <w:szCs w:val="72"/>
          <w:highlight w:val="none"/>
          <w:shd w:val="clear" w:fill="FFFFFF"/>
          <w:lang w:val="en-US" w:eastAsia="zh-CN"/>
        </w:rPr>
        <w:t>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eastAsia="zh-CN"/>
        </w:rPr>
      </w:pPr>
      <w:r>
        <w:rPr>
          <w:rFonts w:hint="eastAsia" w:ascii="Times New Roman" w:hAnsi="Times New Roman" w:eastAsia="仿宋_GB2312" w:cs="Times New Roman"/>
          <w:kern w:val="2"/>
          <w:sz w:val="32"/>
          <w:szCs w:val="32"/>
          <w:lang w:val="zh-CN" w:eastAsia="zh-CN"/>
        </w:rPr>
        <w:t>本单位</w:t>
      </w:r>
      <w:r>
        <w:rPr>
          <w:rFonts w:hint="eastAsia" w:ascii="Times New Roman" w:hAnsi="Times New Roman" w:eastAsia="仿宋_GB2312" w:cs="Times New Roman"/>
          <w:kern w:val="2"/>
          <w:sz w:val="32"/>
          <w:szCs w:val="32"/>
          <w:lang w:val="zh-CN"/>
        </w:rPr>
        <w:t>2023年度收入决算总计</w:t>
      </w:r>
      <w:r>
        <w:rPr>
          <w:rFonts w:hint="eastAsia" w:ascii="Times New Roman" w:hAnsi="Times New Roman" w:eastAsia="仿宋_GB2312" w:cs="Times New Roman"/>
          <w:kern w:val="2"/>
          <w:sz w:val="32"/>
          <w:szCs w:val="32"/>
          <w:lang w:val="zh-CN" w:eastAsia="zh-CN"/>
        </w:rPr>
        <w:t>17,005.65</w:t>
      </w:r>
      <w:r>
        <w:rPr>
          <w:rFonts w:hint="eastAsia" w:ascii="Times New Roman" w:hAnsi="Times New Roman" w:eastAsia="仿宋_GB2312" w:cs="Times New Roman"/>
          <w:kern w:val="2"/>
          <w:sz w:val="32"/>
          <w:szCs w:val="32"/>
          <w:lang w:val="en-US" w:eastAsia="zh-CN"/>
        </w:rPr>
        <w:t>万</w:t>
      </w:r>
      <w:r>
        <w:rPr>
          <w:rFonts w:hint="eastAsia"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en-US" w:eastAsia="zh-CN"/>
        </w:rPr>
        <w:t>本单位</w:t>
      </w:r>
      <w:r>
        <w:rPr>
          <w:rFonts w:hint="eastAsia" w:ascii="Times New Roman" w:hAnsi="Times New Roman" w:eastAsia="仿宋_GB2312" w:cs="Times New Roman"/>
          <w:kern w:val="2"/>
          <w:sz w:val="32"/>
          <w:szCs w:val="32"/>
          <w:lang w:val="zh-CN"/>
        </w:rPr>
        <w:t>2023年度支出决算总计</w:t>
      </w:r>
      <w:r>
        <w:rPr>
          <w:rFonts w:hint="eastAsia" w:ascii="Times New Roman" w:hAnsi="Times New Roman" w:eastAsia="仿宋_GB2312" w:cs="Times New Roman"/>
          <w:kern w:val="2"/>
          <w:sz w:val="32"/>
          <w:szCs w:val="32"/>
          <w:lang w:val="zh-CN" w:eastAsia="zh-CN"/>
        </w:rPr>
        <w:t>17,005.65</w:t>
      </w:r>
      <w:r>
        <w:rPr>
          <w:rFonts w:hint="eastAsia" w:ascii="Times New Roman" w:hAnsi="Times New Roman" w:eastAsia="仿宋_GB2312" w:cs="Times New Roman"/>
          <w:kern w:val="2"/>
          <w:sz w:val="32"/>
          <w:szCs w:val="32"/>
          <w:lang w:val="en-US" w:eastAsia="zh-CN"/>
        </w:rPr>
        <w:t>万</w:t>
      </w:r>
      <w:r>
        <w:rPr>
          <w:rFonts w:hint="eastAsia"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eastAsia="zh-CN"/>
        </w:rPr>
        <w:t>。</w:t>
      </w: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en-US" w:eastAsia="zh-CN"/>
        </w:rPr>
      </w:pPr>
      <w:r>
        <w:rPr>
          <w:rFonts w:hint="eastAsia" w:ascii="Times New Roman" w:hAnsi="Times New Roman" w:eastAsia="仿宋_GB2312" w:cs="Times New Roman"/>
          <w:kern w:val="2"/>
          <w:sz w:val="32"/>
          <w:szCs w:val="32"/>
          <w:lang w:val="zh-CN"/>
        </w:rPr>
        <w:t>与</w:t>
      </w:r>
      <w:r>
        <w:rPr>
          <w:rFonts w:hint="eastAsia" w:ascii="Times New Roman" w:hAnsi="Times New Roman" w:eastAsia="仿宋_GB2312" w:cs="Times New Roman"/>
          <w:kern w:val="2"/>
          <w:sz w:val="32"/>
          <w:szCs w:val="32"/>
          <w:lang w:val="zh-CN" w:eastAsia="zh-CN"/>
        </w:rPr>
        <w:t>2022</w:t>
      </w:r>
      <w:r>
        <w:rPr>
          <w:rFonts w:hint="eastAsia" w:ascii="Times New Roman" w:hAnsi="Times New Roman" w:eastAsia="仿宋_GB2312" w:cs="Times New Roman"/>
          <w:kern w:val="2"/>
          <w:sz w:val="32"/>
          <w:szCs w:val="32"/>
          <w:lang w:val="zh-CN"/>
        </w:rPr>
        <w:t>年度相比，收</w:t>
      </w:r>
      <w:r>
        <w:rPr>
          <w:rFonts w:hint="eastAsia" w:ascii="Times New Roman" w:hAnsi="Times New Roman" w:eastAsia="仿宋_GB2312" w:cs="Times New Roman"/>
          <w:kern w:val="2"/>
          <w:sz w:val="32"/>
          <w:szCs w:val="32"/>
          <w:lang w:val="en-US" w:eastAsia="zh-CN"/>
        </w:rPr>
        <w:t>入</w:t>
      </w:r>
      <w:r>
        <w:rPr>
          <w:rFonts w:hint="eastAsia"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en-US" w:eastAsia="zh-CN"/>
        </w:rPr>
        <w:t>减少247.37万元，主要原因是：2022人员工资发放金额增加。</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eastAsia" w:ascii="Times New Roman" w:hAnsi="Times New Roman" w:eastAsia="仿宋_GB2312" w:cs="Times New Roman"/>
          <w:kern w:val="2"/>
          <w:sz w:val="32"/>
          <w:szCs w:val="32"/>
          <w:lang w:val="en-US" w:eastAsia="zh-CN"/>
        </w:rPr>
        <w:t>与2022年度相比，支出总计减少247.37万元，</w:t>
      </w:r>
      <w:r>
        <w:rPr>
          <w:rFonts w:hint="eastAsia" w:ascii="Times New Roman" w:hAnsi="Times New Roman" w:eastAsia="仿宋_GB2312" w:cs="Times New Roman"/>
          <w:kern w:val="2"/>
          <w:sz w:val="32"/>
          <w:szCs w:val="32"/>
          <w:lang w:val="zh-CN" w:eastAsia="zh-CN"/>
        </w:rPr>
        <w:t>主</w:t>
      </w:r>
      <w:r>
        <w:rPr>
          <w:rFonts w:hint="eastAsia" w:ascii="Times New Roman" w:hAnsi="Times New Roman" w:eastAsia="仿宋_GB2312" w:cs="Times New Roman"/>
          <w:kern w:val="2"/>
          <w:sz w:val="32"/>
          <w:szCs w:val="32"/>
          <w:lang w:val="zh-CN"/>
        </w:rPr>
        <w:t>要原因是：</w:t>
      </w:r>
      <w:r>
        <w:rPr>
          <w:rFonts w:hint="eastAsia" w:ascii="Times New Roman" w:hAnsi="Times New Roman" w:eastAsia="仿宋_GB2312" w:cs="Times New Roman"/>
          <w:kern w:val="2"/>
          <w:sz w:val="32"/>
          <w:szCs w:val="32"/>
          <w:lang w:val="en-US" w:eastAsia="zh-CN"/>
        </w:rPr>
        <w:t>2022人员工资发放金额增加。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drawing>
          <wp:inline distT="0" distB="0" distL="114300" distR="114300">
            <wp:extent cx="4572000" cy="2743200"/>
            <wp:effectExtent l="4445" t="4445" r="8255" b="825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黑体" w:cs="Times New Roman"/>
          <w:kern w:val="2"/>
          <w:sz w:val="32"/>
          <w:szCs w:val="32"/>
          <w:lang w:val="en-US" w:eastAsia="zh-CN" w:bidi="ar-SA"/>
        </w:rPr>
      </w:pPr>
      <w:r>
        <w:rPr>
          <w:rFonts w:hint="default" w:ascii="仿宋_GB2312" w:hAnsi="仿宋_GB2312" w:eastAsia="仿宋_GB2312" w:cs="仿宋_GB2312"/>
          <w:i w:val="0"/>
          <w:iCs w:val="0"/>
          <w:caps w:val="0"/>
          <w:color w:val="000000"/>
          <w:spacing w:val="0"/>
          <w:sz w:val="27"/>
          <w:szCs w:val="27"/>
          <w:highlight w:val="none"/>
          <w:shd w:val="clear" w:fill="FFFFFF"/>
        </w:rPr>
        <w:t>图1：202</w:t>
      </w:r>
      <w:r>
        <w:rPr>
          <w:rFonts w:hint="eastAsia" w:ascii="仿宋_GB2312" w:hAnsi="仿宋_GB2312" w:eastAsia="仿宋_GB2312" w:cs="仿宋_GB2312"/>
          <w:i w:val="0"/>
          <w:iCs w:val="0"/>
          <w:caps w:val="0"/>
          <w:color w:val="000000"/>
          <w:spacing w:val="0"/>
          <w:sz w:val="27"/>
          <w:szCs w:val="27"/>
          <w:highlight w:val="none"/>
          <w:shd w:val="clear" w:fill="FFFFFF"/>
          <w:lang w:val="en-US" w:eastAsia="zh-CN"/>
        </w:rPr>
        <w:t>2</w:t>
      </w:r>
      <w:r>
        <w:rPr>
          <w:rFonts w:hint="default" w:ascii="仿宋_GB2312" w:hAnsi="仿宋_GB2312" w:eastAsia="仿宋_GB2312" w:cs="仿宋_GB2312"/>
          <w:i w:val="0"/>
          <w:iCs w:val="0"/>
          <w:caps w:val="0"/>
          <w:color w:val="000000"/>
          <w:spacing w:val="0"/>
          <w:sz w:val="27"/>
          <w:szCs w:val="27"/>
          <w:highlight w:val="none"/>
          <w:shd w:val="clear" w:fill="FFFFFF"/>
        </w:rPr>
        <w:t>-202</w:t>
      </w:r>
      <w:r>
        <w:rPr>
          <w:rFonts w:hint="eastAsia" w:ascii="仿宋_GB2312" w:hAnsi="仿宋_GB2312" w:eastAsia="仿宋_GB2312" w:cs="仿宋_GB2312"/>
          <w:i w:val="0"/>
          <w:iCs w:val="0"/>
          <w:caps w:val="0"/>
          <w:color w:val="000000"/>
          <w:spacing w:val="0"/>
          <w:sz w:val="27"/>
          <w:szCs w:val="27"/>
          <w:highlight w:val="none"/>
          <w:shd w:val="clear" w:fill="FFFFFF"/>
          <w:lang w:val="en-US" w:eastAsia="zh-CN"/>
        </w:rPr>
        <w:t>3</w:t>
      </w:r>
      <w:r>
        <w:rPr>
          <w:rFonts w:hint="default" w:ascii="仿宋_GB2312" w:hAnsi="仿宋_GB2312" w:eastAsia="仿宋_GB2312" w:cs="仿宋_GB2312"/>
          <w:i w:val="0"/>
          <w:iCs w:val="0"/>
          <w:caps w:val="0"/>
          <w:color w:val="000000"/>
          <w:spacing w:val="0"/>
          <w:sz w:val="27"/>
          <w:szCs w:val="27"/>
          <w:highlight w:val="none"/>
          <w:shd w:val="clear" w:fill="FFFFFF"/>
        </w:rPr>
        <w:t>年收支总计对比情况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16,971.27</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，其中：财政拨款收入12,271.83万元，占72.31%；上级补助收入0万元，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0%；事业收入4,691.4万元，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27.64%；经营收入0万元，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0%；其他收入8.03万元，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0.05%</w:t>
      </w:r>
      <w:r>
        <w:rPr>
          <w:rFonts w:hint="eastAsia" w:ascii="Times New Roman" w:hAnsi="Times New Roman" w:eastAsia="仿宋_GB2312" w:cs="Times New Roman"/>
          <w:kern w:val="2"/>
          <w:sz w:val="32"/>
          <w:szCs w:val="32"/>
          <w:lang w:val="zh-CN"/>
        </w:rPr>
        <w:t>。</w:t>
      </w:r>
    </w:p>
    <w:p>
      <w:pPr>
        <w:adjustRightInd w:val="0"/>
        <w:snapToGrid w:val="0"/>
        <w:spacing w:line="580" w:lineRule="exact"/>
        <w:rPr>
          <w:rFonts w:hint="default" w:ascii="Times New Roman" w:hAnsi="Times New Roman" w:eastAsia="仿宋_GB2312" w:cs="Times New Roman"/>
          <w:sz w:val="32"/>
          <w:szCs w:val="32"/>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pPr>
      <w:r>
        <w:drawing>
          <wp:inline distT="0" distB="0" distL="114300" distR="114300">
            <wp:extent cx="4572000" cy="2743200"/>
            <wp:effectExtent l="4445" t="4445" r="8255" b="8255"/>
            <wp:docPr id="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160" w:firstLineChars="800"/>
        <w:jc w:val="both"/>
      </w:pPr>
      <w:r>
        <w:rPr>
          <w:rFonts w:hint="default" w:ascii="仿宋_GB2312" w:hAnsi="仿宋_GB2312" w:eastAsia="仿宋_GB2312" w:cs="仿宋_GB2312"/>
          <w:i w:val="0"/>
          <w:iCs w:val="0"/>
          <w:caps w:val="0"/>
          <w:color w:val="000000"/>
          <w:spacing w:val="0"/>
          <w:sz w:val="27"/>
          <w:szCs w:val="27"/>
          <w:highlight w:val="none"/>
          <w:shd w:val="clear" w:fill="FFFFFF"/>
        </w:rPr>
        <w:t>图2：收入决算构成情况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17,005.65万元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4,867.37万元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占28.62%；</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12,138.28万元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占71.38%；</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autoSpaceDE w:val="0"/>
        <w:autoSpaceDN w:val="0"/>
        <w:adjustRightInd w:val="0"/>
        <w:jc w:val="left"/>
      </w:pPr>
      <w:r>
        <w:drawing>
          <wp:inline distT="0" distB="0" distL="114300" distR="114300">
            <wp:extent cx="3977005" cy="2173605"/>
            <wp:effectExtent l="4445" t="4445" r="6350" b="6350"/>
            <wp:docPr id="9"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rPr>
      </w:pPr>
      <w:r>
        <w:rPr>
          <w:rFonts w:hint="default" w:ascii="仿宋_GB2312" w:hAnsi="仿宋_GB2312" w:eastAsia="仿宋_GB2312" w:cs="仿宋_GB2312"/>
          <w:i w:val="0"/>
          <w:iCs w:val="0"/>
          <w:caps w:val="0"/>
          <w:color w:val="000000"/>
          <w:spacing w:val="0"/>
          <w:sz w:val="27"/>
          <w:szCs w:val="27"/>
          <w:highlight w:val="none"/>
          <w:shd w:val="clear" w:fill="FFFFFF"/>
        </w:rPr>
        <w:t>图3：支出决算构成情况（按支出性质）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年度财政拨款本年收入12,271.83</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w:t>
      </w:r>
      <w:r>
        <w:rPr>
          <w:rFonts w:hint="default" w:ascii="仿宋_GB2312" w:hAnsi="仿宋_GB2312" w:eastAsia="仿宋_GB2312" w:cs="仿宋_GB2312"/>
          <w:b w:val="0"/>
          <w:bCs w:val="0"/>
          <w:i w:val="0"/>
          <w:iCs w:val="0"/>
          <w:caps w:val="0"/>
          <w:color w:val="auto"/>
          <w:spacing w:val="0"/>
          <w:sz w:val="33"/>
          <w:szCs w:val="33"/>
          <w:highlight w:val="none"/>
          <w:shd w:val="clear" w:fill="FFFFFF"/>
        </w:rPr>
        <w:t>比上年</w:t>
      </w:r>
      <w:r>
        <w:rPr>
          <w:rFonts w:hint="eastAsia" w:ascii="Times New Roman" w:hAnsi="Times New Roman" w:eastAsia="仿宋_GB2312" w:cs="仿宋_GB2312"/>
          <w:b w:val="0"/>
          <w:bCs w:val="0"/>
          <w:color w:val="auto"/>
          <w:kern w:val="0"/>
          <w:sz w:val="30"/>
          <w:szCs w:val="30"/>
          <w:highlight w:val="none"/>
          <w:lang w:val="en-US" w:eastAsia="zh-CN"/>
        </w:rPr>
        <w:t>增加2,890.64万元，</w:t>
      </w:r>
      <w:r>
        <w:rPr>
          <w:rFonts w:hint="default" w:ascii="Times New Roman" w:hAnsi="Times New Roman" w:eastAsia="仿宋_GB2312" w:cs="Times New Roman"/>
          <w:color w:val="auto"/>
          <w:kern w:val="2"/>
          <w:sz w:val="32"/>
          <w:szCs w:val="32"/>
          <w:lang w:val="zh-CN" w:eastAsia="zh-CN" w:bidi="ar-SA"/>
        </w:rPr>
        <w:t>增长</w:t>
      </w:r>
      <w:r>
        <w:rPr>
          <w:rFonts w:hint="eastAsia" w:ascii="Times New Roman" w:hAnsi="Times New Roman" w:eastAsia="仿宋_GB2312" w:cs="Times New Roman"/>
          <w:color w:val="auto"/>
          <w:kern w:val="2"/>
          <w:sz w:val="32"/>
          <w:szCs w:val="32"/>
          <w:lang w:val="en-US" w:eastAsia="zh-CN" w:bidi="ar-SA"/>
        </w:rPr>
        <w:t>29.4</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仿宋_GB2312"/>
          <w:b w:val="0"/>
          <w:bCs w:val="0"/>
          <w:color w:val="auto"/>
          <w:sz w:val="30"/>
          <w:szCs w:val="30"/>
          <w:highlight w:val="none"/>
          <w:lang w:val="zh-CN"/>
        </w:rPr>
        <w:t>主要原因是：</w:t>
      </w:r>
      <w:r>
        <w:rPr>
          <w:rFonts w:hint="eastAsia" w:ascii="Times New Roman" w:hAnsi="Times New Roman" w:eastAsia="仿宋_GB2312" w:cs="仿宋_GB2312"/>
          <w:b w:val="0"/>
          <w:bCs w:val="0"/>
          <w:color w:val="auto"/>
          <w:sz w:val="30"/>
          <w:szCs w:val="30"/>
          <w:highlight w:val="none"/>
          <w:lang w:val="en-US" w:eastAsia="zh-CN"/>
        </w:rPr>
        <w:t>生均项目资金增加，安排新校区建设尾款</w:t>
      </w:r>
      <w:r>
        <w:rPr>
          <w:rFonts w:hint="default" w:ascii="仿宋_GB2312" w:hAnsi="仿宋_GB2312" w:eastAsia="仿宋_GB2312" w:cs="仿宋_GB2312"/>
          <w:b w:val="0"/>
          <w:bCs w:val="0"/>
          <w:i w:val="0"/>
          <w:iCs w:val="0"/>
          <w:caps w:val="0"/>
          <w:color w:val="auto"/>
          <w:spacing w:val="0"/>
          <w:sz w:val="33"/>
          <w:szCs w:val="33"/>
          <w:highlight w:val="none"/>
          <w:shd w:val="clear" w:fill="FFFFFF"/>
        </w:rPr>
        <w:t>；</w:t>
      </w:r>
      <w:r>
        <w:rPr>
          <w:rFonts w:hint="default" w:ascii="Times New Roman" w:hAnsi="Times New Roman" w:eastAsia="仿宋_GB2312" w:cs="Times New Roman"/>
          <w:color w:val="auto"/>
          <w:kern w:val="2"/>
          <w:sz w:val="32"/>
          <w:szCs w:val="32"/>
          <w:lang w:val="zh-CN" w:eastAsia="zh-CN" w:bidi="ar-SA"/>
        </w:rPr>
        <w:t>本年支出 12,271.83元，</w:t>
      </w:r>
      <w:r>
        <w:rPr>
          <w:rFonts w:hint="default" w:ascii="仿宋_GB2312" w:hAnsi="仿宋_GB2312" w:eastAsia="仿宋_GB2312" w:cs="仿宋_GB2312"/>
          <w:b w:val="0"/>
          <w:bCs w:val="0"/>
          <w:i w:val="0"/>
          <w:iCs w:val="0"/>
          <w:caps w:val="0"/>
          <w:color w:val="auto"/>
          <w:spacing w:val="0"/>
          <w:sz w:val="33"/>
          <w:szCs w:val="33"/>
          <w:highlight w:val="none"/>
          <w:shd w:val="clear" w:fill="FFFFFF"/>
        </w:rPr>
        <w:t>比上年</w:t>
      </w:r>
      <w:r>
        <w:rPr>
          <w:rFonts w:hint="eastAsia" w:ascii="Times New Roman" w:hAnsi="Times New Roman" w:eastAsia="仿宋_GB2312" w:cs="仿宋_GB2312"/>
          <w:b w:val="0"/>
          <w:bCs w:val="0"/>
          <w:color w:val="auto"/>
          <w:kern w:val="0"/>
          <w:sz w:val="30"/>
          <w:szCs w:val="30"/>
          <w:highlight w:val="none"/>
          <w:lang w:val="en-US" w:eastAsia="zh-CN"/>
        </w:rPr>
        <w:t>增加2,890.64万元，</w:t>
      </w:r>
      <w:r>
        <w:rPr>
          <w:rFonts w:hint="default" w:ascii="Times New Roman" w:hAnsi="Times New Roman" w:eastAsia="仿宋_GB2312" w:cs="Times New Roman"/>
          <w:color w:val="auto"/>
          <w:kern w:val="2"/>
          <w:sz w:val="32"/>
          <w:szCs w:val="32"/>
          <w:lang w:val="zh-CN" w:eastAsia="zh-CN" w:bidi="ar-SA"/>
        </w:rPr>
        <w:t>增长</w:t>
      </w:r>
      <w:r>
        <w:rPr>
          <w:rFonts w:hint="eastAsia" w:ascii="Times New Roman" w:hAnsi="Times New Roman" w:eastAsia="仿宋_GB2312" w:cs="Times New Roman"/>
          <w:color w:val="auto"/>
          <w:kern w:val="2"/>
          <w:sz w:val="32"/>
          <w:szCs w:val="32"/>
          <w:lang w:val="en-US" w:eastAsia="zh-CN" w:bidi="ar-SA"/>
        </w:rPr>
        <w:t>29.4</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仿宋_GB2312"/>
          <w:b w:val="0"/>
          <w:bCs w:val="0"/>
          <w:color w:val="auto"/>
          <w:sz w:val="30"/>
          <w:szCs w:val="30"/>
          <w:highlight w:val="none"/>
          <w:lang w:val="zh-CN"/>
        </w:rPr>
        <w:t>主要原因是：</w:t>
      </w:r>
      <w:r>
        <w:rPr>
          <w:rFonts w:hint="eastAsia" w:ascii="Times New Roman" w:hAnsi="Times New Roman" w:eastAsia="仿宋_GB2312" w:cs="仿宋_GB2312"/>
          <w:b w:val="0"/>
          <w:bCs w:val="0"/>
          <w:color w:val="auto"/>
          <w:sz w:val="30"/>
          <w:szCs w:val="30"/>
          <w:highlight w:val="none"/>
          <w:lang w:val="en-US" w:eastAsia="zh-CN"/>
        </w:rPr>
        <w:t>生均项目资金增加，安排新校区建设尾款</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一般公共预算财政拨款本年收入12,271.83</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w:t>
      </w:r>
      <w:r>
        <w:rPr>
          <w:rFonts w:hint="default" w:ascii="仿宋_GB2312" w:hAnsi="仿宋_GB2312" w:eastAsia="仿宋_GB2312" w:cs="仿宋_GB2312"/>
          <w:b w:val="0"/>
          <w:bCs w:val="0"/>
          <w:i w:val="0"/>
          <w:iCs w:val="0"/>
          <w:caps w:val="0"/>
          <w:color w:val="auto"/>
          <w:spacing w:val="0"/>
          <w:sz w:val="33"/>
          <w:szCs w:val="33"/>
          <w:highlight w:val="none"/>
          <w:shd w:val="clear" w:fill="FFFFFF"/>
        </w:rPr>
        <w:t>比上年</w:t>
      </w:r>
      <w:r>
        <w:rPr>
          <w:rFonts w:hint="eastAsia" w:ascii="Times New Roman" w:hAnsi="Times New Roman" w:eastAsia="仿宋_GB2312" w:cs="仿宋_GB2312"/>
          <w:b w:val="0"/>
          <w:bCs w:val="0"/>
          <w:color w:val="auto"/>
          <w:kern w:val="0"/>
          <w:sz w:val="30"/>
          <w:szCs w:val="30"/>
          <w:highlight w:val="none"/>
          <w:lang w:val="en-US" w:eastAsia="zh-CN"/>
        </w:rPr>
        <w:t>增加2,890.64万元，</w:t>
      </w:r>
      <w:r>
        <w:rPr>
          <w:rFonts w:hint="default" w:ascii="Times New Roman" w:hAnsi="Times New Roman" w:eastAsia="仿宋_GB2312" w:cs="Times New Roman"/>
          <w:color w:val="auto"/>
          <w:kern w:val="2"/>
          <w:sz w:val="32"/>
          <w:szCs w:val="32"/>
          <w:lang w:val="zh-CN" w:eastAsia="zh-CN" w:bidi="ar-SA"/>
        </w:rPr>
        <w:t>增长</w:t>
      </w:r>
      <w:r>
        <w:rPr>
          <w:rFonts w:hint="eastAsia" w:ascii="Times New Roman" w:hAnsi="Times New Roman" w:eastAsia="仿宋_GB2312" w:cs="Times New Roman"/>
          <w:color w:val="auto"/>
          <w:kern w:val="2"/>
          <w:sz w:val="32"/>
          <w:szCs w:val="32"/>
          <w:lang w:val="en-US" w:eastAsia="zh-CN" w:bidi="ar-SA"/>
        </w:rPr>
        <w:t>29.4</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仿宋_GB2312"/>
          <w:b w:val="0"/>
          <w:bCs w:val="0"/>
          <w:color w:val="auto"/>
          <w:sz w:val="30"/>
          <w:szCs w:val="30"/>
          <w:highlight w:val="none"/>
          <w:lang w:val="zh-CN"/>
        </w:rPr>
        <w:t>主要原因是：</w:t>
      </w:r>
      <w:r>
        <w:rPr>
          <w:rFonts w:hint="eastAsia" w:ascii="Times New Roman" w:hAnsi="Times New Roman" w:eastAsia="仿宋_GB2312" w:cs="仿宋_GB2312"/>
          <w:b w:val="0"/>
          <w:bCs w:val="0"/>
          <w:color w:val="auto"/>
          <w:sz w:val="30"/>
          <w:szCs w:val="30"/>
          <w:highlight w:val="none"/>
          <w:lang w:val="en-US" w:eastAsia="zh-CN"/>
        </w:rPr>
        <w:t>生均项目资金增加，安排新校区建设尾款</w:t>
      </w:r>
      <w:r>
        <w:rPr>
          <w:rFonts w:hint="default" w:ascii="仿宋_GB2312" w:hAnsi="仿宋_GB2312" w:eastAsia="仿宋_GB2312" w:cs="仿宋_GB2312"/>
          <w:b w:val="0"/>
          <w:bCs w:val="0"/>
          <w:i w:val="0"/>
          <w:iCs w:val="0"/>
          <w:caps w:val="0"/>
          <w:color w:val="auto"/>
          <w:spacing w:val="0"/>
          <w:sz w:val="33"/>
          <w:szCs w:val="33"/>
          <w:highlight w:val="none"/>
          <w:shd w:val="clear" w:fill="FFFFFF"/>
        </w:rPr>
        <w:t>；</w:t>
      </w:r>
      <w:r>
        <w:rPr>
          <w:rFonts w:hint="default" w:ascii="Times New Roman" w:hAnsi="Times New Roman" w:eastAsia="仿宋_GB2312" w:cs="Times New Roman"/>
          <w:color w:val="auto"/>
          <w:kern w:val="2"/>
          <w:sz w:val="32"/>
          <w:szCs w:val="32"/>
          <w:lang w:val="zh-CN" w:eastAsia="zh-CN" w:bidi="ar-SA"/>
        </w:rPr>
        <w:t>本年支出 12,271.83元，</w:t>
      </w:r>
      <w:r>
        <w:rPr>
          <w:rFonts w:hint="default" w:ascii="仿宋_GB2312" w:hAnsi="仿宋_GB2312" w:eastAsia="仿宋_GB2312" w:cs="仿宋_GB2312"/>
          <w:b w:val="0"/>
          <w:bCs w:val="0"/>
          <w:i w:val="0"/>
          <w:iCs w:val="0"/>
          <w:caps w:val="0"/>
          <w:color w:val="auto"/>
          <w:spacing w:val="0"/>
          <w:sz w:val="33"/>
          <w:szCs w:val="33"/>
          <w:highlight w:val="none"/>
          <w:shd w:val="clear" w:fill="FFFFFF"/>
        </w:rPr>
        <w:t>比上年</w:t>
      </w:r>
      <w:r>
        <w:rPr>
          <w:rFonts w:hint="eastAsia" w:ascii="Times New Roman" w:hAnsi="Times New Roman" w:eastAsia="仿宋_GB2312" w:cs="仿宋_GB2312"/>
          <w:b w:val="0"/>
          <w:bCs w:val="0"/>
          <w:color w:val="auto"/>
          <w:kern w:val="0"/>
          <w:sz w:val="30"/>
          <w:szCs w:val="30"/>
          <w:highlight w:val="none"/>
          <w:lang w:val="en-US" w:eastAsia="zh-CN"/>
        </w:rPr>
        <w:t>增加2,890.64万元，</w:t>
      </w:r>
      <w:r>
        <w:rPr>
          <w:rFonts w:hint="default" w:ascii="Times New Roman" w:hAnsi="Times New Roman" w:eastAsia="仿宋_GB2312" w:cs="Times New Roman"/>
          <w:color w:val="auto"/>
          <w:kern w:val="2"/>
          <w:sz w:val="32"/>
          <w:szCs w:val="32"/>
          <w:lang w:val="zh-CN" w:eastAsia="zh-CN" w:bidi="ar-SA"/>
        </w:rPr>
        <w:t>增长</w:t>
      </w:r>
      <w:r>
        <w:rPr>
          <w:rFonts w:hint="eastAsia" w:ascii="Times New Roman" w:hAnsi="Times New Roman" w:eastAsia="仿宋_GB2312" w:cs="Times New Roman"/>
          <w:color w:val="auto"/>
          <w:kern w:val="2"/>
          <w:sz w:val="32"/>
          <w:szCs w:val="32"/>
          <w:lang w:val="en-US" w:eastAsia="zh-CN" w:bidi="ar-SA"/>
        </w:rPr>
        <w:t>29.4</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仿宋_GB2312"/>
          <w:b w:val="0"/>
          <w:bCs w:val="0"/>
          <w:color w:val="auto"/>
          <w:sz w:val="30"/>
          <w:szCs w:val="30"/>
          <w:highlight w:val="none"/>
          <w:lang w:val="zh-CN"/>
        </w:rPr>
        <w:t>主要原因是：</w:t>
      </w:r>
      <w:r>
        <w:rPr>
          <w:rFonts w:hint="eastAsia" w:ascii="Times New Roman" w:hAnsi="Times New Roman" w:eastAsia="仿宋_GB2312" w:cs="仿宋_GB2312"/>
          <w:b w:val="0"/>
          <w:bCs w:val="0"/>
          <w:color w:val="auto"/>
          <w:sz w:val="30"/>
          <w:szCs w:val="30"/>
          <w:highlight w:val="none"/>
          <w:lang w:val="en-US" w:eastAsia="zh-CN"/>
        </w:rPr>
        <w:t>生均项目资金增加，安排新校区建设尾款。</w:t>
      </w:r>
    </w:p>
    <w:p>
      <w:pPr>
        <w:snapToGrid w:val="0"/>
        <w:spacing w:line="580" w:lineRule="exact"/>
        <w:rPr>
          <w:rFonts w:hint="default" w:ascii="Times New Roman" w:hAnsi="Times New Roman" w:eastAsia="楷体_GB2312" w:cs="Times New Roman"/>
          <w:b/>
          <w:bCs/>
          <w:kern w:val="2"/>
          <w:sz w:val="32"/>
          <w:szCs w:val="32"/>
        </w:rPr>
      </w:pPr>
      <w:r>
        <w:rPr>
          <w:rFonts w:hint="eastAsia" w:ascii="Times New Roman" w:hAnsi="Times New Roman" w:eastAsia="仿宋_GB2312" w:cs="仿宋_GB2312"/>
          <w:b w:val="0"/>
          <w:bCs w:val="0"/>
          <w:color w:val="auto"/>
          <w:sz w:val="30"/>
          <w:szCs w:val="30"/>
          <w:highlight w:val="none"/>
          <w:lang w:val="zh-CN"/>
        </w:rPr>
        <w:drawing>
          <wp:anchor distT="0" distB="0" distL="114300" distR="114300" simplePos="0" relativeHeight="251667456" behindDoc="0" locked="0" layoutInCell="1" allowOverlap="1">
            <wp:simplePos x="0" y="0"/>
            <wp:positionH relativeFrom="column">
              <wp:posOffset>423545</wp:posOffset>
            </wp:positionH>
            <wp:positionV relativeFrom="paragraph">
              <wp:posOffset>174625</wp:posOffset>
            </wp:positionV>
            <wp:extent cx="4263390" cy="2245995"/>
            <wp:effectExtent l="4445" t="4445" r="12065" b="10160"/>
            <wp:wrapSquare wrapText="bothSides"/>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pPr>
        <w:snapToGrid w:val="0"/>
        <w:spacing w:line="580" w:lineRule="exact"/>
        <w:ind w:firstLine="964" w:firstLineChars="300"/>
        <w:rPr>
          <w:rFonts w:hint="eastAsia" w:ascii="Times New Roman" w:hAnsi="Times New Roman" w:eastAsia="楷体_GB2312" w:cs="Times New Roman"/>
          <w:b/>
          <w:bCs/>
          <w:kern w:val="2"/>
          <w:sz w:val="32"/>
          <w:szCs w:val="32"/>
          <w:lang w:val="en-US" w:eastAsia="zh-CN"/>
        </w:rPr>
      </w:pPr>
      <w:r>
        <w:rPr>
          <w:rFonts w:hint="eastAsia" w:ascii="Times New Roman" w:hAnsi="Times New Roman" w:eastAsia="楷体_GB2312" w:cs="Times New Roman"/>
          <w:b/>
          <w:bCs/>
          <w:kern w:val="2"/>
          <w:sz w:val="32"/>
          <w:szCs w:val="32"/>
          <w:lang w:val="en-US" w:eastAsia="zh-CN"/>
        </w:rPr>
        <w:t xml:space="preserve">               </w:t>
      </w:r>
    </w:p>
    <w:p>
      <w:pPr>
        <w:snapToGrid w:val="0"/>
        <w:spacing w:line="580" w:lineRule="exact"/>
        <w:ind w:firstLine="964" w:firstLineChars="300"/>
        <w:rPr>
          <w:rFonts w:hint="eastAsia" w:ascii="Times New Roman" w:hAnsi="Times New Roman" w:eastAsia="楷体_GB2312" w:cs="Times New Roman"/>
          <w:b/>
          <w:bCs/>
          <w:kern w:val="2"/>
          <w:sz w:val="32"/>
          <w:szCs w:val="32"/>
          <w:lang w:val="en-US" w:eastAsia="zh-CN"/>
        </w:rPr>
      </w:pPr>
    </w:p>
    <w:p>
      <w:pPr>
        <w:snapToGrid w:val="0"/>
        <w:spacing w:line="580" w:lineRule="exact"/>
        <w:ind w:firstLine="964" w:firstLineChars="300"/>
        <w:rPr>
          <w:rFonts w:hint="eastAsia" w:ascii="Times New Roman" w:hAnsi="Times New Roman" w:eastAsia="楷体_GB2312" w:cs="Times New Roman"/>
          <w:b/>
          <w:bCs/>
          <w:kern w:val="2"/>
          <w:sz w:val="32"/>
          <w:szCs w:val="32"/>
          <w:lang w:val="en-US" w:eastAsia="zh-CN"/>
        </w:rPr>
      </w:pPr>
    </w:p>
    <w:p>
      <w:pPr>
        <w:snapToGrid w:val="0"/>
        <w:spacing w:line="580" w:lineRule="exact"/>
        <w:ind w:firstLine="964" w:firstLineChars="300"/>
        <w:rPr>
          <w:rFonts w:hint="eastAsia" w:ascii="Times New Roman" w:hAnsi="Times New Roman" w:eastAsia="楷体_GB2312" w:cs="Times New Roman"/>
          <w:b/>
          <w:bCs/>
          <w:kern w:val="2"/>
          <w:sz w:val="32"/>
          <w:szCs w:val="32"/>
          <w:lang w:val="en-US" w:eastAsia="zh-C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仿宋_GB2312" w:hAnsi="仿宋_GB2312" w:eastAsia="仿宋_GB2312" w:cs="仿宋_GB2312"/>
          <w:i w:val="0"/>
          <w:iCs w:val="0"/>
          <w:caps w:val="0"/>
          <w:color w:val="000000"/>
          <w:spacing w:val="0"/>
          <w:sz w:val="27"/>
          <w:szCs w:val="27"/>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仿宋_GB2312" w:hAnsi="仿宋_GB2312" w:eastAsia="仿宋_GB2312" w:cs="仿宋_GB2312"/>
          <w:i w:val="0"/>
          <w:iCs w:val="0"/>
          <w:caps w:val="0"/>
          <w:color w:val="000000"/>
          <w:spacing w:val="0"/>
          <w:sz w:val="27"/>
          <w:szCs w:val="27"/>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imes New Roman" w:hAnsi="Times New Roman" w:eastAsia="楷体_GB2312" w:cs="Times New Roman"/>
          <w:b/>
          <w:bCs/>
          <w:kern w:val="2"/>
          <w:sz w:val="32"/>
          <w:szCs w:val="32"/>
          <w:lang w:val="en-US" w:eastAsia="zh-CN"/>
        </w:rPr>
      </w:pPr>
      <w:r>
        <w:rPr>
          <w:rFonts w:hint="default" w:ascii="仿宋_GB2312" w:hAnsi="仿宋_GB2312" w:eastAsia="仿宋_GB2312" w:cs="仿宋_GB2312"/>
          <w:i w:val="0"/>
          <w:iCs w:val="0"/>
          <w:caps w:val="0"/>
          <w:color w:val="000000"/>
          <w:spacing w:val="0"/>
          <w:sz w:val="27"/>
          <w:szCs w:val="27"/>
          <w:highlight w:val="none"/>
          <w:shd w:val="clear" w:fill="FFFFFF"/>
        </w:rPr>
        <w:t>图4：202</w:t>
      </w:r>
      <w:r>
        <w:rPr>
          <w:rFonts w:hint="eastAsia" w:ascii="仿宋_GB2312" w:hAnsi="仿宋_GB2312" w:eastAsia="仿宋_GB2312" w:cs="仿宋_GB2312"/>
          <w:i w:val="0"/>
          <w:iCs w:val="0"/>
          <w:caps w:val="0"/>
          <w:color w:val="000000"/>
          <w:spacing w:val="0"/>
          <w:sz w:val="27"/>
          <w:szCs w:val="27"/>
          <w:highlight w:val="none"/>
          <w:shd w:val="clear" w:fill="FFFFFF"/>
          <w:lang w:val="en-US" w:eastAsia="zh-CN"/>
        </w:rPr>
        <w:t>2</w:t>
      </w:r>
      <w:r>
        <w:rPr>
          <w:rFonts w:hint="default" w:ascii="仿宋_GB2312" w:hAnsi="仿宋_GB2312" w:eastAsia="仿宋_GB2312" w:cs="仿宋_GB2312"/>
          <w:i w:val="0"/>
          <w:iCs w:val="0"/>
          <w:caps w:val="0"/>
          <w:color w:val="000000"/>
          <w:spacing w:val="0"/>
          <w:sz w:val="27"/>
          <w:szCs w:val="27"/>
          <w:highlight w:val="none"/>
          <w:shd w:val="clear" w:fill="FFFFFF"/>
        </w:rPr>
        <w:t>-202</w:t>
      </w:r>
      <w:r>
        <w:rPr>
          <w:rFonts w:hint="eastAsia" w:ascii="仿宋_GB2312" w:hAnsi="仿宋_GB2312" w:eastAsia="仿宋_GB2312" w:cs="仿宋_GB2312"/>
          <w:i w:val="0"/>
          <w:iCs w:val="0"/>
          <w:caps w:val="0"/>
          <w:color w:val="000000"/>
          <w:spacing w:val="0"/>
          <w:sz w:val="27"/>
          <w:szCs w:val="27"/>
          <w:highlight w:val="none"/>
          <w:shd w:val="clear" w:fill="FFFFFF"/>
          <w:lang w:val="en-US" w:eastAsia="zh-CN"/>
        </w:rPr>
        <w:t>3</w:t>
      </w:r>
      <w:r>
        <w:rPr>
          <w:rFonts w:hint="default" w:ascii="仿宋_GB2312" w:hAnsi="仿宋_GB2312" w:eastAsia="仿宋_GB2312" w:cs="仿宋_GB2312"/>
          <w:i w:val="0"/>
          <w:iCs w:val="0"/>
          <w:caps w:val="0"/>
          <w:color w:val="000000"/>
          <w:spacing w:val="0"/>
          <w:sz w:val="27"/>
          <w:szCs w:val="27"/>
          <w:highlight w:val="none"/>
          <w:shd w:val="clear" w:fill="FFFFFF"/>
        </w:rPr>
        <w:t>年财政拨款收支情况（单位：万元）</w:t>
      </w:r>
    </w:p>
    <w:p>
      <w:pPr>
        <w:snapToGrid w:val="0"/>
        <w:spacing w:line="580" w:lineRule="exact"/>
        <w:ind w:firstLine="321" w:firstLineChars="100"/>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年度财政拨款本年收入12,271.83万元，完成年初预算的101.11%，比年初预算</w:t>
      </w:r>
      <w:r>
        <w:rPr>
          <w:rFonts w:hint="eastAsia" w:ascii="Times New Roman" w:hAnsi="Times New Roman" w:eastAsia="仿宋_GB2312" w:cs="Times New Roman"/>
          <w:color w:val="auto"/>
          <w:kern w:val="2"/>
          <w:sz w:val="32"/>
          <w:szCs w:val="32"/>
          <w:lang w:val="en-US" w:eastAsia="zh-CN" w:bidi="ar-SA"/>
        </w:rPr>
        <w:t>增加134.16万元</w:t>
      </w:r>
      <w:r>
        <w:rPr>
          <w:rFonts w:hint="default" w:ascii="Times New Roman" w:hAnsi="Times New Roman" w:eastAsia="仿宋_GB2312" w:cs="Times New Roman"/>
          <w:color w:val="auto"/>
          <w:kern w:val="2"/>
          <w:sz w:val="32"/>
          <w:szCs w:val="32"/>
          <w:lang w:val="zh-CN" w:eastAsia="zh-CN" w:bidi="ar-SA"/>
        </w:rPr>
        <w:t>，决算数大于预算数主要原因是</w:t>
      </w:r>
      <w:r>
        <w:rPr>
          <w:rFonts w:hint="eastAsia" w:ascii="Times New Roman" w:hAnsi="Times New Roman" w:eastAsia="仿宋_GB2312" w:cs="Times New Roman"/>
          <w:color w:val="auto"/>
          <w:kern w:val="2"/>
          <w:sz w:val="32"/>
          <w:szCs w:val="32"/>
          <w:lang w:val="en-US" w:eastAsia="zh-CN" w:bidi="ar-SA"/>
        </w:rPr>
        <w:t>追加项目资金</w:t>
      </w:r>
      <w:r>
        <w:rPr>
          <w:rFonts w:hint="default" w:ascii="Times New Roman" w:hAnsi="Times New Roman" w:eastAsia="仿宋_GB2312" w:cs="Times New Roman"/>
          <w:color w:val="auto"/>
          <w:kern w:val="2"/>
          <w:sz w:val="32"/>
          <w:szCs w:val="32"/>
          <w:lang w:val="zh-CN" w:eastAsia="zh-CN" w:bidi="ar-SA"/>
        </w:rPr>
        <w:t>；本年支出12,271.83万元，完成年初预算的101.11%，比年初预算</w:t>
      </w:r>
      <w:r>
        <w:rPr>
          <w:rFonts w:hint="eastAsia" w:ascii="Times New Roman" w:hAnsi="Times New Roman" w:eastAsia="仿宋_GB2312" w:cs="Times New Roman"/>
          <w:color w:val="auto"/>
          <w:kern w:val="2"/>
          <w:sz w:val="32"/>
          <w:szCs w:val="32"/>
          <w:lang w:val="en-US" w:eastAsia="zh-CN" w:bidi="ar-SA"/>
        </w:rPr>
        <w:t>增加134.16万元</w:t>
      </w:r>
      <w:r>
        <w:rPr>
          <w:rFonts w:hint="default" w:ascii="Times New Roman" w:hAnsi="Times New Roman" w:eastAsia="仿宋_GB2312" w:cs="Times New Roman"/>
          <w:color w:val="auto"/>
          <w:kern w:val="2"/>
          <w:sz w:val="32"/>
          <w:szCs w:val="32"/>
          <w:lang w:val="zh-CN" w:eastAsia="zh-CN" w:bidi="ar-SA"/>
        </w:rPr>
        <w:t>，决算数大于预算数主要原因是</w:t>
      </w:r>
      <w:r>
        <w:rPr>
          <w:rFonts w:hint="eastAsia" w:ascii="Times New Roman" w:hAnsi="Times New Roman" w:eastAsia="仿宋_GB2312" w:cs="Times New Roman"/>
          <w:color w:val="auto"/>
          <w:kern w:val="2"/>
          <w:sz w:val="32"/>
          <w:szCs w:val="32"/>
          <w:lang w:val="en-US" w:eastAsia="zh-CN" w:bidi="ar-SA"/>
        </w:rPr>
        <w:t>追加项目资金</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收入12,271.83万元，完成年初预算的 101.11%，</w:t>
      </w:r>
      <w:r>
        <w:rPr>
          <w:rFonts w:hint="default" w:ascii="Times New Roman" w:hAnsi="Times New Roman" w:eastAsia="仿宋_GB2312" w:cs="Times New Roman"/>
          <w:color w:val="auto"/>
          <w:kern w:val="2"/>
          <w:sz w:val="32"/>
          <w:szCs w:val="32"/>
          <w:lang w:val="zh-CN" w:eastAsia="zh-CN" w:bidi="ar-SA"/>
        </w:rPr>
        <w:t>比年初预算</w:t>
      </w:r>
      <w:r>
        <w:rPr>
          <w:rFonts w:hint="eastAsia" w:ascii="Times New Roman" w:hAnsi="Times New Roman" w:eastAsia="仿宋_GB2312" w:cs="Times New Roman"/>
          <w:color w:val="auto"/>
          <w:kern w:val="2"/>
          <w:sz w:val="32"/>
          <w:szCs w:val="32"/>
          <w:lang w:val="en-US" w:eastAsia="zh-CN" w:bidi="ar-SA"/>
        </w:rPr>
        <w:t>增加134.16万元</w:t>
      </w:r>
      <w:r>
        <w:rPr>
          <w:rFonts w:hint="default" w:ascii="Times New Roman" w:hAnsi="Times New Roman" w:eastAsia="仿宋_GB2312" w:cs="Times New Roman"/>
          <w:color w:val="auto"/>
          <w:kern w:val="2"/>
          <w:sz w:val="32"/>
          <w:szCs w:val="32"/>
          <w:lang w:val="zh-CN" w:eastAsia="zh-CN" w:bidi="ar-SA"/>
        </w:rPr>
        <w:t>，决算数大于预算数主要原因是</w:t>
      </w:r>
      <w:r>
        <w:rPr>
          <w:rFonts w:hint="eastAsia" w:ascii="Times New Roman" w:hAnsi="Times New Roman" w:eastAsia="仿宋_GB2312" w:cs="Times New Roman"/>
          <w:color w:val="auto"/>
          <w:kern w:val="2"/>
          <w:sz w:val="32"/>
          <w:szCs w:val="32"/>
          <w:lang w:val="en-US" w:eastAsia="zh-CN" w:bidi="ar-SA"/>
        </w:rPr>
        <w:t>追加项目资金</w:t>
      </w:r>
      <w:r>
        <w:rPr>
          <w:rFonts w:hint="default" w:ascii="Times New Roman" w:hAnsi="Times New Roman" w:eastAsia="仿宋_GB2312" w:cs="Times New Roman"/>
          <w:color w:val="auto"/>
          <w:kern w:val="2"/>
          <w:sz w:val="32"/>
          <w:szCs w:val="32"/>
          <w:lang w:val="zh-CN" w:eastAsia="zh-CN" w:bidi="ar-SA"/>
        </w:rPr>
        <w:t>；本年支出12,271.83万元，完成年初预算的101.11%，比年初预算</w:t>
      </w:r>
      <w:r>
        <w:rPr>
          <w:rFonts w:hint="eastAsia" w:ascii="Times New Roman" w:hAnsi="Times New Roman" w:eastAsia="仿宋_GB2312" w:cs="Times New Roman"/>
          <w:color w:val="auto"/>
          <w:kern w:val="2"/>
          <w:sz w:val="32"/>
          <w:szCs w:val="32"/>
          <w:lang w:val="en-US" w:eastAsia="zh-CN" w:bidi="ar-SA"/>
        </w:rPr>
        <w:t>增加134.16万元</w:t>
      </w:r>
      <w:r>
        <w:rPr>
          <w:rFonts w:hint="default" w:ascii="Times New Roman" w:hAnsi="Times New Roman" w:eastAsia="仿宋_GB2312" w:cs="Times New Roman"/>
          <w:color w:val="auto"/>
          <w:kern w:val="2"/>
          <w:sz w:val="32"/>
          <w:szCs w:val="32"/>
          <w:lang w:val="zh-CN" w:eastAsia="zh-CN" w:bidi="ar-SA"/>
        </w:rPr>
        <w:t>，决算数大于预算数主要原因是</w:t>
      </w:r>
      <w:r>
        <w:rPr>
          <w:rFonts w:hint="eastAsia" w:ascii="Times New Roman" w:hAnsi="Times New Roman" w:eastAsia="仿宋_GB2312" w:cs="Times New Roman"/>
          <w:color w:val="auto"/>
          <w:kern w:val="2"/>
          <w:sz w:val="32"/>
          <w:szCs w:val="32"/>
          <w:lang w:val="en-US" w:eastAsia="zh-CN" w:bidi="ar-SA"/>
        </w:rPr>
        <w:t>追加项目资金。</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drawing>
          <wp:inline distT="0" distB="0" distL="114300" distR="114300">
            <wp:extent cx="4527550" cy="2617470"/>
            <wp:effectExtent l="6350" t="6350" r="12700" b="17780"/>
            <wp:docPr id="1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仿宋_GB2312" w:hAnsi="仿宋_GB2312" w:eastAsia="仿宋_GB2312" w:cs="仿宋_GB2312"/>
          <w:i w:val="0"/>
          <w:iCs w:val="0"/>
          <w:caps w:val="0"/>
          <w:color w:val="000000"/>
          <w:spacing w:val="0"/>
          <w:sz w:val="27"/>
          <w:szCs w:val="27"/>
          <w:highlight w:val="none"/>
          <w:shd w:val="clear" w:fill="FFFFFF"/>
        </w:rPr>
        <w:t>图5：财政拨款收支预决算对比情况（单位：万元）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lang w:val="en-US" w:eastAsia="zh-C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年度财政拨款支出12,271.83万元，主要用于以下方面：</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一般公共服务（类）支出0万元，占0%；</w:t>
      </w:r>
      <w:r>
        <w:rPr>
          <w:rFonts w:hint="default" w:ascii="Times New Roman" w:hAnsi="Times New Roman" w:eastAsia="仿宋_GB2312" w:cs="Times New Roman"/>
          <w:color w:val="auto"/>
          <w:kern w:val="2"/>
          <w:sz w:val="32"/>
          <w:szCs w:val="32"/>
          <w:lang w:val="en-US" w:eastAsia="zh-CN" w:bidi="ar-SA"/>
        </w:rPr>
        <w:t>外交</w:t>
      </w:r>
      <w:r>
        <w:rPr>
          <w:rFonts w:hint="default" w:ascii="Times New Roman" w:hAnsi="Times New Roman" w:eastAsia="仿宋_GB2312" w:cs="Times New Roman"/>
          <w:color w:val="auto"/>
          <w:kern w:val="2"/>
          <w:sz w:val="32"/>
          <w:szCs w:val="32"/>
          <w:lang w:val="zh-CN" w:eastAsia="zh-CN" w:bidi="ar-SA"/>
        </w:rPr>
        <w:t>（类）支出0万元，占0%；国防（类）支出0万元，占0%；公共安全类（类）支出0万元，占0%；教育（类）支出12,254.83万元，占99.86%；科学技术（类）支出0万元，占0%；文化旅游体育与传媒（类）支出0万元，占0%；社会保障和就业 （类）支出0万元，占0%；卫生健康（类）支出0万元，占0%；节能环保（类）支出0万元，占0%；城乡社区（类）支出0万元，占0%；农林水（类）支出0万元，占0%；交通运输（类）支出0万元，占0%；资源勘探信息等（类）支出0万元，占0%；商业服务业等（类）支出0万元，占0%；金融（类）支出0万元，占0%；援助其他地区（类）支出0万元，占0%；自然资源海洋气象等（类）支出17万元，占0.14%；住房保障（类）支出0万元，占0%；粮油物资储备（类）支出0万元，占0%；国有资本经营预算支出0万元，占0%；害防治及应急管理（类）支出0万元，占0%；其他（类）支出0万元，占0%；债务</w:t>
      </w:r>
      <w:r>
        <w:rPr>
          <w:rFonts w:hint="default" w:ascii="Times New Roman" w:hAnsi="Times New Roman" w:eastAsia="仿宋_GB2312" w:cs="Times New Roman"/>
          <w:color w:val="auto"/>
          <w:kern w:val="2"/>
          <w:sz w:val="32"/>
          <w:szCs w:val="32"/>
          <w:lang w:val="en-US" w:eastAsia="zh-CN" w:bidi="ar-SA"/>
        </w:rPr>
        <w:t>还本</w:t>
      </w:r>
      <w:r>
        <w:rPr>
          <w:rFonts w:hint="default" w:ascii="Times New Roman" w:hAnsi="Times New Roman" w:eastAsia="仿宋_GB2312" w:cs="Times New Roman"/>
          <w:color w:val="auto"/>
          <w:kern w:val="2"/>
          <w:sz w:val="32"/>
          <w:szCs w:val="32"/>
          <w:lang w:val="zh-CN" w:eastAsia="zh-CN" w:bidi="ar-SA"/>
        </w:rPr>
        <w:t>（类）支出0万元，占0%；债务付息（类）支出0万元，占0%；抗疫特别国债安排的支出0万 元，占0%。</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pPr>
      <w:r>
        <w:drawing>
          <wp:inline distT="0" distB="0" distL="114300" distR="114300">
            <wp:extent cx="5826125" cy="3374390"/>
            <wp:effectExtent l="4445" t="4445" r="11430" b="12065"/>
            <wp:docPr id="1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0" w:right="0" w:firstLine="0"/>
        <w:jc w:val="center"/>
        <w:rPr>
          <w:rFonts w:hint="default"/>
          <w:lang w:val="zh-CN" w:eastAsia="zh-CN"/>
        </w:rPr>
      </w:pPr>
      <w:r>
        <w:rPr>
          <w:rFonts w:hint="default" w:ascii="仿宋_GB2312" w:hAnsi="仿宋_GB2312" w:eastAsia="仿宋_GB2312" w:cs="仿宋_GB2312"/>
          <w:i w:val="0"/>
          <w:iCs w:val="0"/>
          <w:caps w:val="0"/>
          <w:color w:val="333333"/>
          <w:spacing w:val="0"/>
          <w:sz w:val="27"/>
          <w:szCs w:val="27"/>
          <w:highlight w:val="none"/>
          <w:shd w:val="clear" w:fill="FFFFFF"/>
        </w:rPr>
        <w:t>图6：财政拨款支出决算结构（按功能分类）</w:t>
      </w:r>
    </w:p>
    <w:p>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年度财政拨款基本支出3,746.04万元，其中：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仿宋_GB2312" w:hAnsi="仿宋_GB2312" w:eastAsia="仿宋_GB2312" w:cs="仿宋_GB2312"/>
          <w:i w:val="0"/>
          <w:iCs w:val="0"/>
          <w:caps w:val="0"/>
          <w:color w:val="333333"/>
          <w:spacing w:val="0"/>
          <w:sz w:val="33"/>
          <w:szCs w:val="33"/>
          <w:highlight w:val="none"/>
          <w:shd w:val="clear" w:fill="FFFFFF"/>
        </w:rPr>
        <w:t>人员经费</w:t>
      </w:r>
      <w:r>
        <w:rPr>
          <w:rFonts w:hint="eastAsia" w:ascii="仿宋_GB2312" w:hAnsi="仿宋_GB2312" w:eastAsia="仿宋_GB2312" w:cs="仿宋_GB2312"/>
          <w:i w:val="0"/>
          <w:iCs w:val="0"/>
          <w:caps w:val="0"/>
          <w:color w:val="333333"/>
          <w:spacing w:val="0"/>
          <w:sz w:val="33"/>
          <w:szCs w:val="33"/>
          <w:highlight w:val="none"/>
          <w:shd w:val="clear" w:fill="FFFFFF"/>
          <w:lang w:eastAsia="zh-CN"/>
        </w:rPr>
        <w:t>3,746.04</w:t>
      </w:r>
      <w:r>
        <w:rPr>
          <w:rFonts w:hint="default" w:ascii="仿宋_GB2312" w:hAnsi="仿宋_GB2312" w:eastAsia="仿宋_GB2312" w:cs="仿宋_GB2312"/>
          <w:i w:val="0"/>
          <w:iCs w:val="0"/>
          <w:caps w:val="0"/>
          <w:color w:val="333333"/>
          <w:spacing w:val="0"/>
          <w:sz w:val="33"/>
          <w:szCs w:val="33"/>
          <w:highlight w:val="none"/>
          <w:shd w:val="clear" w:fill="FFFFFF"/>
        </w:rPr>
        <w:t>万元，主要包括基本工资</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612.99万元</w:t>
      </w:r>
      <w:r>
        <w:rPr>
          <w:rFonts w:hint="default" w:ascii="仿宋_GB2312" w:hAnsi="仿宋_GB2312" w:eastAsia="仿宋_GB2312" w:cs="仿宋_GB2312"/>
          <w:i w:val="0"/>
          <w:iCs w:val="0"/>
          <w:caps w:val="0"/>
          <w:color w:val="333333"/>
          <w:spacing w:val="0"/>
          <w:sz w:val="33"/>
          <w:szCs w:val="33"/>
          <w:highlight w:val="none"/>
          <w:shd w:val="clear" w:fill="FFFFFF"/>
        </w:rPr>
        <w:t>、津贴补贴</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533.24万元</w:t>
      </w:r>
      <w:r>
        <w:rPr>
          <w:rFonts w:hint="default" w:ascii="仿宋_GB2312" w:hAnsi="仿宋_GB2312" w:eastAsia="仿宋_GB2312" w:cs="仿宋_GB2312"/>
          <w:i w:val="0"/>
          <w:iCs w:val="0"/>
          <w:caps w:val="0"/>
          <w:color w:val="333333"/>
          <w:spacing w:val="0"/>
          <w:sz w:val="33"/>
          <w:szCs w:val="33"/>
          <w:highlight w:val="none"/>
          <w:shd w:val="clear" w:fill="FFFFFF"/>
        </w:rPr>
        <w:t>、奖金</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289.17万元</w:t>
      </w:r>
      <w:r>
        <w:rPr>
          <w:rFonts w:hint="default" w:ascii="仿宋_GB2312" w:hAnsi="仿宋_GB2312" w:eastAsia="仿宋_GB2312" w:cs="仿宋_GB2312"/>
          <w:i w:val="0"/>
          <w:iCs w:val="0"/>
          <w:caps w:val="0"/>
          <w:color w:val="333333"/>
          <w:spacing w:val="0"/>
          <w:sz w:val="33"/>
          <w:szCs w:val="33"/>
          <w:highlight w:val="none"/>
          <w:shd w:val="clear" w:fill="FFFFFF"/>
        </w:rPr>
        <w:t>、绩效工资</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307.79万元</w:t>
      </w:r>
      <w:r>
        <w:rPr>
          <w:rFonts w:hint="default" w:ascii="仿宋_GB2312" w:hAnsi="仿宋_GB2312" w:eastAsia="仿宋_GB2312" w:cs="仿宋_GB2312"/>
          <w:i w:val="0"/>
          <w:iCs w:val="0"/>
          <w:caps w:val="0"/>
          <w:color w:val="333333"/>
          <w:spacing w:val="0"/>
          <w:sz w:val="33"/>
          <w:szCs w:val="33"/>
          <w:highlight w:val="none"/>
          <w:shd w:val="clear" w:fill="FFFFFF"/>
        </w:rPr>
        <w:t>、机关事业</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单位</w:t>
      </w:r>
      <w:r>
        <w:rPr>
          <w:rFonts w:hint="default" w:ascii="仿宋_GB2312" w:hAnsi="仿宋_GB2312" w:eastAsia="仿宋_GB2312" w:cs="仿宋_GB2312"/>
          <w:i w:val="0"/>
          <w:iCs w:val="0"/>
          <w:caps w:val="0"/>
          <w:color w:val="333333"/>
          <w:spacing w:val="0"/>
          <w:sz w:val="33"/>
          <w:szCs w:val="33"/>
          <w:highlight w:val="none"/>
          <w:shd w:val="clear" w:fill="FFFFFF"/>
        </w:rPr>
        <w:t>基本养老保险缴费</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512.44万元</w:t>
      </w:r>
      <w:r>
        <w:rPr>
          <w:rFonts w:hint="default" w:ascii="仿宋_GB2312" w:hAnsi="仿宋_GB2312" w:eastAsia="仿宋_GB2312" w:cs="仿宋_GB2312"/>
          <w:i w:val="0"/>
          <w:iCs w:val="0"/>
          <w:caps w:val="0"/>
          <w:color w:val="333333"/>
          <w:spacing w:val="0"/>
          <w:sz w:val="33"/>
          <w:szCs w:val="33"/>
          <w:highlight w:val="none"/>
          <w:shd w:val="clear" w:fill="FFFFFF"/>
        </w:rPr>
        <w:t>、职业年金缴费</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257.07万元</w:t>
      </w:r>
      <w:r>
        <w:rPr>
          <w:rFonts w:hint="default" w:ascii="仿宋_GB2312" w:hAnsi="仿宋_GB2312" w:eastAsia="仿宋_GB2312" w:cs="仿宋_GB2312"/>
          <w:i w:val="0"/>
          <w:iCs w:val="0"/>
          <w:caps w:val="0"/>
          <w:color w:val="333333"/>
          <w:spacing w:val="0"/>
          <w:sz w:val="33"/>
          <w:szCs w:val="33"/>
          <w:highlight w:val="none"/>
          <w:shd w:val="clear" w:fill="FFFFFF"/>
        </w:rPr>
        <w:t>、职工基本医疗保险缴费</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192.79万元</w:t>
      </w:r>
      <w:r>
        <w:rPr>
          <w:rFonts w:hint="default" w:ascii="仿宋_GB2312" w:hAnsi="仿宋_GB2312" w:eastAsia="仿宋_GB2312" w:cs="仿宋_GB2312"/>
          <w:i w:val="0"/>
          <w:iCs w:val="0"/>
          <w:caps w:val="0"/>
          <w:color w:val="333333"/>
          <w:spacing w:val="0"/>
          <w:sz w:val="33"/>
          <w:szCs w:val="33"/>
          <w:highlight w:val="none"/>
          <w:shd w:val="clear" w:fill="FFFFFF"/>
        </w:rPr>
        <w:t>、公务员医疗补助缴费</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241.95万元</w:t>
      </w:r>
      <w:r>
        <w:rPr>
          <w:rFonts w:hint="default" w:ascii="仿宋_GB2312" w:hAnsi="仿宋_GB2312" w:eastAsia="仿宋_GB2312" w:cs="仿宋_GB2312"/>
          <w:i w:val="0"/>
          <w:iCs w:val="0"/>
          <w:caps w:val="0"/>
          <w:color w:val="333333"/>
          <w:spacing w:val="0"/>
          <w:sz w:val="33"/>
          <w:szCs w:val="33"/>
          <w:highlight w:val="none"/>
          <w:shd w:val="clear" w:fill="FFFFFF"/>
        </w:rPr>
        <w:t>、住房公积金</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193.07万元</w:t>
      </w:r>
      <w:r>
        <w:rPr>
          <w:rFonts w:hint="default" w:ascii="仿宋_GB2312" w:hAnsi="仿宋_GB2312" w:eastAsia="仿宋_GB2312" w:cs="仿宋_GB2312"/>
          <w:i w:val="0"/>
          <w:iCs w:val="0"/>
          <w:caps w:val="0"/>
          <w:color w:val="333333"/>
          <w:spacing w:val="0"/>
          <w:sz w:val="33"/>
          <w:szCs w:val="33"/>
          <w:highlight w:val="none"/>
          <w:shd w:val="clear" w:fill="FFFFFF"/>
        </w:rPr>
        <w:t>、其他社会保障缴费</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75.33万元</w:t>
      </w:r>
      <w:r>
        <w:rPr>
          <w:rFonts w:hint="default" w:ascii="仿宋_GB2312" w:hAnsi="仿宋_GB2312" w:eastAsia="仿宋_GB2312" w:cs="仿宋_GB2312"/>
          <w:i w:val="0"/>
          <w:iCs w:val="0"/>
          <w:caps w:val="0"/>
          <w:color w:val="333333"/>
          <w:spacing w:val="0"/>
          <w:sz w:val="33"/>
          <w:szCs w:val="33"/>
          <w:highlight w:val="none"/>
          <w:shd w:val="clear" w:fill="FFFFFF"/>
        </w:rPr>
        <w:t>、 退休费</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525.7万元</w:t>
      </w:r>
      <w:r>
        <w:rPr>
          <w:rFonts w:hint="default" w:ascii="仿宋_GB2312" w:hAnsi="仿宋_GB2312" w:eastAsia="仿宋_GB2312" w:cs="仿宋_GB2312"/>
          <w:i w:val="0"/>
          <w:iCs w:val="0"/>
          <w:caps w:val="0"/>
          <w:color w:val="333333"/>
          <w:spacing w:val="0"/>
          <w:sz w:val="33"/>
          <w:szCs w:val="33"/>
          <w:highlight w:val="none"/>
          <w:shd w:val="clear" w:fill="FFFFFF"/>
        </w:rPr>
        <w:t>、生活补助</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3.89万元</w:t>
      </w:r>
      <w:r>
        <w:rPr>
          <w:rFonts w:hint="default" w:ascii="仿宋_GB2312" w:hAnsi="仿宋_GB2312" w:eastAsia="仿宋_GB2312" w:cs="仿宋_GB2312"/>
          <w:i w:val="0"/>
          <w:iCs w:val="0"/>
          <w:caps w:val="0"/>
          <w:color w:val="333333"/>
          <w:spacing w:val="0"/>
          <w:sz w:val="33"/>
          <w:szCs w:val="33"/>
          <w:highlight w:val="none"/>
          <w:shd w:val="clear" w:fill="FFFFFF"/>
        </w:rPr>
        <w:t>、奖励金</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0.6万元。</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年度“三公”经费财政拨款支出预算为0万元，支出决算为 0万元，完成预算的 0%，较预算增加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本</w:t>
      </w:r>
      <w:r>
        <w:rPr>
          <w:rFonts w:hint="default" w:ascii="仿宋_GB2312" w:hAnsi="仿宋_GB2312" w:eastAsia="仿宋_GB2312" w:cs="仿宋_GB2312"/>
          <w:i w:val="0"/>
          <w:iCs w:val="0"/>
          <w:caps w:val="0"/>
          <w:color w:val="333333"/>
          <w:spacing w:val="0"/>
          <w:sz w:val="33"/>
          <w:szCs w:val="33"/>
          <w:highlight w:val="none"/>
          <w:shd w:val="clear" w:fill="FFFFFF"/>
          <w:lang w:val="en-US" w:eastAsia="zh-CN"/>
        </w:rPr>
        <w:t>单位</w:t>
      </w:r>
      <w:r>
        <w:rPr>
          <w:rFonts w:hint="default" w:ascii="Times New Roman" w:hAnsi="Times New Roman" w:eastAsia="仿宋_GB2312" w:cs="Times New Roman"/>
          <w:color w:val="auto"/>
          <w:kern w:val="2"/>
          <w:sz w:val="32"/>
          <w:szCs w:val="32"/>
          <w:lang w:val="zh-CN" w:eastAsia="zh-CN" w:bidi="ar-SA"/>
        </w:rPr>
        <w:t>“三公”经费</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全部由财政专户资金安排</w:t>
      </w:r>
      <w:r>
        <w:rPr>
          <w:rFonts w:hint="default" w:ascii="Times New Roman" w:hAnsi="Times New Roman" w:eastAsia="仿宋_GB2312" w:cs="Times New Roman"/>
          <w:color w:val="auto"/>
          <w:kern w:val="2"/>
          <w:sz w:val="32"/>
          <w:szCs w:val="32"/>
          <w:lang w:val="zh-CN" w:eastAsia="zh-CN" w:bidi="ar-SA"/>
        </w:rPr>
        <w:t>；较2022年度决算增加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本</w:t>
      </w:r>
      <w:r>
        <w:rPr>
          <w:rFonts w:hint="default" w:ascii="仿宋_GB2312" w:hAnsi="仿宋_GB2312" w:eastAsia="仿宋_GB2312" w:cs="仿宋_GB2312"/>
          <w:i w:val="0"/>
          <w:iCs w:val="0"/>
          <w:caps w:val="0"/>
          <w:color w:val="333333"/>
          <w:spacing w:val="0"/>
          <w:sz w:val="33"/>
          <w:szCs w:val="33"/>
          <w:highlight w:val="none"/>
          <w:shd w:val="clear" w:fill="FFFFFF"/>
          <w:lang w:val="en-US" w:eastAsia="zh-CN"/>
        </w:rPr>
        <w:t>单位</w:t>
      </w:r>
      <w:r>
        <w:rPr>
          <w:rFonts w:hint="default" w:ascii="Times New Roman" w:hAnsi="Times New Roman" w:eastAsia="仿宋_GB2312" w:cs="Times New Roman"/>
          <w:color w:val="auto"/>
          <w:kern w:val="2"/>
          <w:sz w:val="32"/>
          <w:szCs w:val="32"/>
          <w:lang w:val="zh-CN" w:eastAsia="zh-CN" w:bidi="ar-SA"/>
        </w:rPr>
        <w:t>“三公”经费</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全部由财政专户资金安排</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。因公出国（境）费支出较预算增加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本单位未发生</w:t>
      </w:r>
      <w:r>
        <w:rPr>
          <w:rFonts w:hint="default" w:ascii="Times New Roman" w:hAnsi="Times New Roman" w:eastAsia="仿宋_GB2312" w:cs="Times New Roman"/>
          <w:color w:val="auto"/>
          <w:kern w:val="2"/>
          <w:sz w:val="32"/>
          <w:szCs w:val="32"/>
          <w:lang w:val="en-US" w:eastAsia="zh-CN" w:bidi="ar-SA"/>
        </w:rPr>
        <w:t>因公出国（境）费；较上年增加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本单位未发生</w:t>
      </w:r>
      <w:r>
        <w:rPr>
          <w:rFonts w:hint="default" w:ascii="Times New Roman" w:hAnsi="Times New Roman" w:eastAsia="仿宋_GB2312" w:cs="Times New Roman"/>
          <w:color w:val="auto"/>
          <w:kern w:val="2"/>
          <w:sz w:val="32"/>
          <w:szCs w:val="32"/>
          <w:lang w:val="en-US" w:eastAsia="zh-CN" w:bidi="ar-SA"/>
        </w:rPr>
        <w:t>因公出国（境）费。无本部门组织的出国（境）团组。</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年度公务用车购置及运行维护费预算为0万元，支出决算 0万元，完成预算的0%,较预算增加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本</w:t>
      </w:r>
      <w:r>
        <w:rPr>
          <w:rFonts w:hint="default" w:ascii="仿宋_GB2312" w:hAnsi="仿宋_GB2312" w:eastAsia="仿宋_GB2312" w:cs="仿宋_GB2312"/>
          <w:i w:val="0"/>
          <w:iCs w:val="0"/>
          <w:caps w:val="0"/>
          <w:color w:val="333333"/>
          <w:spacing w:val="0"/>
          <w:sz w:val="33"/>
          <w:szCs w:val="33"/>
          <w:highlight w:val="none"/>
          <w:shd w:val="clear" w:fill="FFFFFF"/>
          <w:lang w:val="en-US" w:eastAsia="zh-CN"/>
        </w:rPr>
        <w:t>单位</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未发生公务用车购置费、公务用车运行维护费全部由财政专户资金安排</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本</w:t>
      </w:r>
      <w:r>
        <w:rPr>
          <w:rFonts w:hint="default" w:ascii="仿宋_GB2312" w:hAnsi="仿宋_GB2312" w:eastAsia="仿宋_GB2312" w:cs="仿宋_GB2312"/>
          <w:i w:val="0"/>
          <w:iCs w:val="0"/>
          <w:caps w:val="0"/>
          <w:color w:val="333333"/>
          <w:spacing w:val="0"/>
          <w:sz w:val="33"/>
          <w:szCs w:val="33"/>
          <w:highlight w:val="none"/>
          <w:shd w:val="clear" w:fill="FFFFFF"/>
          <w:lang w:val="en-US" w:eastAsia="zh-CN"/>
        </w:rPr>
        <w:t>单位</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未发生公务用车购置费、公务用车运行维护费全部由财政专户资金安排</w:t>
      </w:r>
      <w:r>
        <w:rPr>
          <w:rFonts w:hint="default" w:ascii="Times New Roman" w:hAnsi="Times New Roman" w:eastAsia="仿宋_GB2312" w:cs="Times New Roman"/>
          <w:color w:val="auto"/>
          <w:kern w:val="2"/>
          <w:sz w:val="32"/>
          <w:szCs w:val="32"/>
          <w:lang w:val="zh-CN" w:eastAsia="zh-CN" w:bidi="ar-SA"/>
        </w:rPr>
        <w:t>。其中：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仿宋_GB2312" w:cs="Times New Roman"/>
          <w:b/>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本</w:t>
      </w:r>
      <w:r>
        <w:rPr>
          <w:rFonts w:hint="default" w:ascii="仿宋_GB2312" w:hAnsi="仿宋_GB2312" w:eastAsia="仿宋_GB2312" w:cs="仿宋_GB2312"/>
          <w:i w:val="0"/>
          <w:iCs w:val="0"/>
          <w:caps w:val="0"/>
          <w:color w:val="333333"/>
          <w:spacing w:val="0"/>
          <w:sz w:val="33"/>
          <w:szCs w:val="33"/>
          <w:highlight w:val="none"/>
          <w:shd w:val="clear" w:fill="FFFFFF"/>
          <w:lang w:val="en-US" w:eastAsia="zh-CN"/>
        </w:rPr>
        <w:t>单位</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未发生公务用车购置费</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本</w:t>
      </w:r>
      <w:r>
        <w:rPr>
          <w:rFonts w:hint="default" w:ascii="仿宋_GB2312" w:hAnsi="仿宋_GB2312" w:eastAsia="仿宋_GB2312" w:cs="仿宋_GB2312"/>
          <w:i w:val="0"/>
          <w:iCs w:val="0"/>
          <w:caps w:val="0"/>
          <w:color w:val="333333"/>
          <w:spacing w:val="0"/>
          <w:sz w:val="33"/>
          <w:szCs w:val="33"/>
          <w:highlight w:val="none"/>
          <w:shd w:val="clear" w:fill="FFFFFF"/>
          <w:lang w:val="en-US" w:eastAsia="zh-CN"/>
        </w:rPr>
        <w:t>单位</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未发生公务用车购置费</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年度单位公务用车保有量0辆，发生运行维护费支出0万元。公车运行维护费支出较预算增加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本单位公务用车运行维护费全部由财政专户资金安排</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本单位公务用车运行维护费全部由财政专户资金安排</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本单位公务接待费全部由财政专户资金安排</w:t>
      </w:r>
      <w:r>
        <w:rPr>
          <w:rFonts w:hint="default" w:ascii="Times New Roman" w:hAnsi="Times New Roman" w:eastAsia="仿宋_GB2312" w:cs="Times New Roman"/>
          <w:color w:val="auto"/>
          <w:kern w:val="2"/>
          <w:sz w:val="32"/>
          <w:szCs w:val="32"/>
          <w:lang w:val="zh-CN" w:eastAsia="zh-CN" w:bidi="ar-SA"/>
        </w:rPr>
        <w:t>；较上年度增加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本单位公务接待费全部由财政专户资金安排</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r>
        <w:rPr>
          <w:rFonts w:hint="eastAsia" w:ascii="仿宋_GB2312" w:hAnsi="仿宋_GB2312" w:eastAsia="仿宋_GB2312" w:cs="仿宋_GB2312"/>
          <w:i w:val="0"/>
          <w:iCs w:val="0"/>
          <w:caps w:val="0"/>
          <w:color w:val="333333"/>
          <w:spacing w:val="0"/>
          <w:kern w:val="0"/>
          <w:sz w:val="33"/>
          <w:szCs w:val="33"/>
          <w:highlight w:val="none"/>
          <w:shd w:val="clear" w:fill="FFFFFF"/>
          <w:lang w:val="en-US" w:eastAsia="zh-CN" w:bidi="ar"/>
        </w:rPr>
        <w:t>本单位为事业单位无机关运行经费。</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年度政府采购支出总额2,253.82万元，从采购类型来看，政府采购货物支出431.5万元、政府采购工程支出0万元、政府采购服务支出1,822.32万元。授予中小企业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2,253.82万元，占政府采购支出总额的100%，其中授予小微企业合同金额1,915.03万元，占政府采购支出总额的84.97%。</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年12月31日，3共有车辆本单位辆，比上年减少</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辆，主要是</w:t>
      </w:r>
      <w:r>
        <w:rPr>
          <w:rFonts w:hint="eastAsia" w:ascii="仿宋_GB2312" w:hAnsi="仿宋_GB2312" w:eastAsia="仿宋_GB2312" w:cs="仿宋_GB2312"/>
          <w:i w:val="0"/>
          <w:iCs w:val="0"/>
          <w:caps w:val="0"/>
          <w:color w:val="333333"/>
          <w:spacing w:val="0"/>
          <w:sz w:val="33"/>
          <w:szCs w:val="33"/>
          <w:highlight w:val="none"/>
          <w:shd w:val="clear" w:fill="FFFFFF"/>
          <w:lang w:val="en-US" w:eastAsia="zh-CN"/>
        </w:rPr>
        <w:t>本年度报废2辆汽车</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用车0辆，机要通信用车0辆，应急保障用车0辆，执法执勤用车0辆，特种专业技术用车0辆，离退休干部用车0辆，其他用车3辆，其他用车主要是</w:t>
      </w:r>
      <w:r>
        <w:rPr>
          <w:rFonts w:hint="default" w:ascii="仿宋_GB2312" w:hAnsi="仿宋_GB2312" w:eastAsia="仿宋_GB2312" w:cs="仿宋_GB2312"/>
          <w:i w:val="0"/>
          <w:iCs w:val="0"/>
          <w:caps w:val="0"/>
          <w:color w:val="333333"/>
          <w:spacing w:val="0"/>
          <w:sz w:val="33"/>
          <w:szCs w:val="33"/>
          <w:highlight w:val="none"/>
          <w:shd w:val="clear" w:fill="FFFFFF"/>
        </w:rPr>
        <w:t>其他用车主要是</w:t>
      </w:r>
      <w:r>
        <w:rPr>
          <w:rFonts w:ascii="仿宋" w:hAnsi="仿宋" w:eastAsia="仿宋" w:cs="仿宋"/>
          <w:color w:val="000000"/>
          <w:kern w:val="0"/>
          <w:sz w:val="32"/>
          <w:szCs w:val="32"/>
          <w:lang w:val="en-US" w:eastAsia="zh-CN" w:bidi="ar"/>
        </w:rPr>
        <w:t>教学及后勤业</w:t>
      </w:r>
      <w:r>
        <w:rPr>
          <w:rFonts w:hint="eastAsia" w:ascii="仿宋" w:hAnsi="仿宋" w:eastAsia="仿宋" w:cs="仿宋"/>
          <w:color w:val="000000"/>
          <w:kern w:val="0"/>
          <w:sz w:val="32"/>
          <w:szCs w:val="32"/>
          <w:lang w:val="en-US" w:eastAsia="zh-CN" w:bidi="ar"/>
        </w:rPr>
        <w:t>务用车</w:t>
      </w:r>
      <w:r>
        <w:rPr>
          <w:rFonts w:hint="default" w:ascii="Times New Roman" w:hAnsi="Times New Roman" w:eastAsia="仿宋_GB2312" w:cs="Times New Roman"/>
          <w:color w:val="auto"/>
          <w:kern w:val="2"/>
          <w:sz w:val="32"/>
          <w:szCs w:val="32"/>
          <w:lang w:val="zh-CN" w:eastAsia="zh-CN" w:bidi="ar-SA"/>
        </w:rPr>
        <w:t>。单位价值100万元（含）以上设备（不含车辆）6台（套）。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仿宋_GB2312" w:hAnsi="仿宋_GB2312" w:eastAsia="仿宋_GB2312" w:cs="仿宋_GB2312"/>
          <w:i w:val="0"/>
          <w:iCs w:val="0"/>
          <w:caps w:val="0"/>
          <w:color w:val="333333"/>
          <w:spacing w:val="0"/>
          <w:sz w:val="33"/>
          <w:szCs w:val="33"/>
          <w:highlight w:val="none"/>
          <w:shd w:val="clear" w:fill="FFFFFF"/>
        </w:rPr>
        <w:t>根据预算绩效管理要求，</w:t>
      </w:r>
      <w:r>
        <w:rPr>
          <w:rFonts w:hint="eastAsia" w:ascii="仿宋_GB2312" w:hAnsi="仿宋_GB2312" w:eastAsia="仿宋_GB2312" w:cs="仿宋_GB2312"/>
          <w:i w:val="0"/>
          <w:iCs w:val="0"/>
          <w:caps w:val="0"/>
          <w:color w:val="333333"/>
          <w:spacing w:val="0"/>
          <w:sz w:val="33"/>
          <w:szCs w:val="33"/>
          <w:highlight w:val="none"/>
          <w:shd w:val="clear" w:fill="FFFFFF"/>
          <w:lang w:eastAsia="zh-CN"/>
        </w:rPr>
        <w:t>本</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组织对202</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19</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12138.28</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 组织对“2023年省级高等职业教育生均拨款（设备购置）”</w:t>
      </w:r>
      <w:r>
        <w:rPr>
          <w:rFonts w:hint="eastAsia" w:ascii="Times New Roman" w:hAnsi="Times New Roman" w:eastAsia="仿宋_GB2312" w:cs="Times New Roman"/>
          <w:color w:val="auto"/>
          <w:kern w:val="2"/>
          <w:sz w:val="32"/>
          <w:szCs w:val="32"/>
          <w:lang w:val="zh-CN" w:eastAsia="zh-CN" w:bidi="ar-SA"/>
        </w:rPr>
        <w:t>“2023新校区工程尾款项目”</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个一级项目开展了重点评价，涉及一般公共预算支出3,892.26万元。从评价情况来看，</w:t>
      </w:r>
      <w:r>
        <w:rPr>
          <w:rFonts w:hint="eastAsia" w:ascii="Times New Roman" w:hAnsi="Times New Roman" w:eastAsia="仿宋_GB2312" w:cs="Times New Roman"/>
          <w:color w:val="auto"/>
          <w:kern w:val="2"/>
          <w:sz w:val="32"/>
          <w:szCs w:val="32"/>
          <w:lang w:val="zh-CN" w:eastAsia="zh-CN" w:bidi="ar-SA"/>
        </w:rPr>
        <w:t>以上项目专项资金收入和支出均符合相关政策规定，并基本完成了既定目标。</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（二）部门决算中项目绩效自评结果（如有）</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zh-CN" w:eastAsia="zh-CN" w:bidi="ar-SA"/>
        </w:rPr>
        <w:t xml:space="preserve">在今年部门决算公开中反映 “2023年省级高等职业教育生均拨款（设备购置）”项目及 </w:t>
      </w:r>
      <w:r>
        <w:rPr>
          <w:rFonts w:hint="eastAsia" w:ascii="Times New Roman" w:hAnsi="Times New Roman" w:eastAsia="仿宋_GB2312" w:cs="Times New Roman"/>
          <w:color w:val="auto"/>
          <w:kern w:val="2"/>
          <w:sz w:val="32"/>
          <w:szCs w:val="32"/>
          <w:lang w:val="zh-CN" w:eastAsia="zh-CN" w:bidi="ar-SA"/>
        </w:rPr>
        <w:t>“2023新校区工程尾款项目”</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个项目绩效自评结果。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eastAsia"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（1）“2023年省级高等职业教育生均拨款（设备购置）”项目自评综述：根据年初设定的绩效目标，“2023年省级高等职业教育生均拨款（设备购置）”绩效自评得分为</w:t>
      </w:r>
      <w:r>
        <w:rPr>
          <w:rFonts w:hint="eastAsia" w:ascii="Times New Roman" w:hAnsi="Times New Roman" w:eastAsia="仿宋_GB2312" w:cs="Times New Roman"/>
          <w:color w:val="auto"/>
          <w:kern w:val="2"/>
          <w:sz w:val="32"/>
          <w:szCs w:val="32"/>
          <w:lang w:val="en-US" w:eastAsia="zh-CN" w:bidi="ar-SA"/>
        </w:rPr>
        <w:t>99</w:t>
      </w:r>
      <w:r>
        <w:rPr>
          <w:rFonts w:hint="default" w:ascii="Times New Roman" w:hAnsi="Times New Roman" w:eastAsia="仿宋_GB2312" w:cs="Times New Roman"/>
          <w:color w:val="auto"/>
          <w:kern w:val="2"/>
          <w:sz w:val="32"/>
          <w:szCs w:val="32"/>
          <w:lang w:val="zh-CN" w:eastAsia="zh-CN" w:bidi="ar-SA"/>
        </w:rPr>
        <w:t>分（绩效自评表附后）。全年预算数为292.26万元，执行数为288.61万元，完成预算的</w:t>
      </w:r>
      <w:r>
        <w:rPr>
          <w:rFonts w:hint="eastAsia" w:ascii="Times New Roman" w:hAnsi="Times New Roman" w:eastAsia="仿宋_GB2312" w:cs="Times New Roman"/>
          <w:color w:val="auto"/>
          <w:kern w:val="2"/>
          <w:sz w:val="32"/>
          <w:szCs w:val="32"/>
          <w:lang w:val="en-US" w:eastAsia="zh-CN" w:bidi="ar-SA"/>
        </w:rPr>
        <w:t>98.75%</w:t>
      </w:r>
      <w:r>
        <w:rPr>
          <w:rFonts w:hint="default" w:ascii="Times New Roman" w:hAnsi="Times New Roman" w:eastAsia="仿宋_GB2312" w:cs="Times New Roman"/>
          <w:color w:val="auto"/>
          <w:kern w:val="2"/>
          <w:sz w:val="32"/>
          <w:szCs w:val="32"/>
          <w:lang w:val="zh-CN" w:eastAsia="zh-CN" w:bidi="ar-SA"/>
        </w:rPr>
        <w:t>。项目绩效目标完成情况：通过项目实施，完成了年初设定的各项绩效目标，完成</w:t>
      </w:r>
      <w:r>
        <w:rPr>
          <w:rFonts w:hint="eastAsia" w:ascii="Times New Roman" w:hAnsi="Times New Roman" w:eastAsia="仿宋_GB2312" w:cs="Times New Roman"/>
          <w:color w:val="auto"/>
          <w:kern w:val="2"/>
          <w:sz w:val="32"/>
          <w:szCs w:val="32"/>
          <w:lang w:val="en-US" w:eastAsia="zh-CN" w:bidi="ar-SA"/>
        </w:rPr>
        <w:t>数量指标，购置办公设备数量满足需求</w:t>
      </w:r>
      <w:r>
        <w:rPr>
          <w:rFonts w:hint="default" w:ascii="Times New Roman" w:hAnsi="Times New Roman" w:eastAsia="仿宋_GB2312" w:cs="Times New Roman"/>
          <w:color w:val="auto"/>
          <w:kern w:val="2"/>
          <w:sz w:val="32"/>
          <w:szCs w:val="32"/>
          <w:lang w:val="zh-CN" w:eastAsia="zh-CN" w:bidi="ar-SA"/>
        </w:rPr>
        <w:t>；完成质量指标</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通过验收等，项</w:t>
      </w:r>
      <w:r>
        <w:rPr>
          <w:rFonts w:hint="eastAsia" w:ascii="Times New Roman" w:hAnsi="Times New Roman" w:eastAsia="仿宋_GB2312" w:cs="Times New Roman"/>
          <w:color w:val="auto"/>
          <w:kern w:val="2"/>
          <w:sz w:val="32"/>
          <w:szCs w:val="32"/>
          <w:lang w:val="zh-CN" w:eastAsia="zh-CN" w:bidi="ar-SA"/>
        </w:rPr>
        <w:t>目经费单独核算，专款专用，所有指标基本完成，</w:t>
      </w:r>
      <w:r>
        <w:rPr>
          <w:rFonts w:hint="eastAsia" w:ascii="Times New Roman" w:hAnsi="Times New Roman" w:eastAsia="仿宋_GB2312" w:cs="Times New Roman"/>
          <w:color w:val="auto"/>
          <w:kern w:val="2"/>
          <w:sz w:val="32"/>
          <w:szCs w:val="32"/>
          <w:lang w:val="en-US" w:eastAsia="zh-CN" w:bidi="ar-SA"/>
        </w:rPr>
        <w:t>为单位采购保质保量的办公设备，提高办公质量与办公效率。</w:t>
      </w:r>
      <w:r>
        <w:rPr>
          <w:rFonts w:hint="default" w:ascii="Times New Roman" w:hAnsi="Times New Roman" w:eastAsia="仿宋_GB2312" w:cs="Times New Roman"/>
          <w:color w:val="auto"/>
          <w:kern w:val="2"/>
          <w:sz w:val="32"/>
          <w:szCs w:val="32"/>
          <w:lang w:val="zh-CN" w:eastAsia="zh-CN" w:bidi="ar-SA"/>
        </w:rPr>
        <w:t>未发现问题</w:t>
      </w:r>
      <w:r>
        <w:rPr>
          <w:rFonts w:hint="eastAsia" w:ascii="Times New Roman" w:hAnsi="Times New Roman" w:eastAsia="仿宋_GB2312" w:cs="Times New Roman"/>
          <w:color w:val="auto"/>
          <w:kern w:val="2"/>
          <w:sz w:val="32"/>
          <w:szCs w:val="32"/>
          <w:lang w:val="zh-CN" w:eastAsia="zh-CN" w:bidi="ar-SA"/>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eastAsia"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zh-CN" w:eastAsia="zh-CN" w:bidi="ar-SA"/>
        </w:rPr>
        <w:t>（2）</w:t>
      </w:r>
      <w:r>
        <w:rPr>
          <w:rFonts w:hint="eastAsia" w:ascii="Times New Roman" w:hAnsi="Times New Roman" w:eastAsia="仿宋_GB2312" w:cs="Times New Roman"/>
          <w:color w:val="auto"/>
          <w:kern w:val="2"/>
          <w:sz w:val="32"/>
          <w:szCs w:val="32"/>
          <w:lang w:val="zh-CN" w:eastAsia="zh-CN" w:bidi="ar-SA"/>
        </w:rPr>
        <w:t>“2023新校区工程尾款项目”</w:t>
      </w:r>
      <w:r>
        <w:rPr>
          <w:rFonts w:hint="default" w:ascii="Times New Roman" w:hAnsi="Times New Roman" w:eastAsia="仿宋_GB2312" w:cs="Times New Roman"/>
          <w:color w:val="auto"/>
          <w:kern w:val="2"/>
          <w:sz w:val="32"/>
          <w:szCs w:val="32"/>
          <w:lang w:val="zh-CN" w:eastAsia="zh-CN" w:bidi="ar-SA"/>
        </w:rPr>
        <w:t>项目绩效自评综述：根据年初设定的绩效目标，</w:t>
      </w:r>
      <w:r>
        <w:rPr>
          <w:rFonts w:hint="eastAsia" w:ascii="Times New Roman" w:hAnsi="Times New Roman" w:eastAsia="仿宋_GB2312" w:cs="Times New Roman"/>
          <w:color w:val="auto"/>
          <w:kern w:val="2"/>
          <w:sz w:val="32"/>
          <w:szCs w:val="32"/>
          <w:lang w:val="zh-CN" w:eastAsia="zh-CN" w:bidi="ar-SA"/>
        </w:rPr>
        <w:t>“2023新校区工程尾款项目”</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99.99</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3600</w:t>
      </w:r>
      <w:r>
        <w:rPr>
          <w:rFonts w:hint="default" w:ascii="Times New Roman" w:hAnsi="Times New Roman" w:eastAsia="仿宋_GB2312" w:cs="Times New Roman"/>
          <w:color w:val="auto"/>
          <w:kern w:val="2"/>
          <w:sz w:val="32"/>
          <w:szCs w:val="32"/>
          <w:lang w:val="zh-CN" w:eastAsia="zh-CN" w:bidi="ar-SA"/>
        </w:rPr>
        <w:t>万元，执行数为3597.72万元，完成预算的</w:t>
      </w:r>
      <w:r>
        <w:rPr>
          <w:rFonts w:hint="eastAsia" w:ascii="Times New Roman" w:hAnsi="Times New Roman" w:eastAsia="仿宋_GB2312" w:cs="Times New Roman"/>
          <w:color w:val="auto"/>
          <w:kern w:val="2"/>
          <w:sz w:val="32"/>
          <w:szCs w:val="32"/>
          <w:lang w:val="en-US" w:eastAsia="zh-CN" w:bidi="ar-SA"/>
        </w:rPr>
        <w:t>99.94%</w:t>
      </w:r>
      <w:r>
        <w:rPr>
          <w:rFonts w:hint="default" w:ascii="Times New Roman" w:hAnsi="Times New Roman" w:eastAsia="仿宋_GB2312" w:cs="Times New Roman"/>
          <w:color w:val="auto"/>
          <w:kern w:val="2"/>
          <w:sz w:val="32"/>
          <w:szCs w:val="32"/>
          <w:lang w:val="zh-CN" w:eastAsia="zh-CN" w:bidi="ar-SA"/>
        </w:rPr>
        <w:t>。项目绩效目标完成情况：通过项目实施，完成了年初设定的各项绩效目标，完成</w:t>
      </w:r>
      <w:r>
        <w:rPr>
          <w:rFonts w:hint="eastAsia" w:ascii="Times New Roman" w:hAnsi="Times New Roman" w:eastAsia="仿宋_GB2312" w:cs="Times New Roman"/>
          <w:color w:val="auto"/>
          <w:kern w:val="2"/>
          <w:sz w:val="32"/>
          <w:szCs w:val="32"/>
          <w:lang w:val="en-US" w:eastAsia="zh-CN" w:bidi="ar-SA"/>
        </w:rPr>
        <w:t>数量指标，补充了新校区建设资金</w:t>
      </w:r>
      <w:r>
        <w:rPr>
          <w:rFonts w:hint="default" w:ascii="Times New Roman" w:hAnsi="Times New Roman" w:eastAsia="仿宋_GB2312" w:cs="Times New Roman"/>
          <w:color w:val="auto"/>
          <w:kern w:val="2"/>
          <w:sz w:val="32"/>
          <w:szCs w:val="32"/>
          <w:lang w:val="zh-CN" w:eastAsia="zh-CN" w:bidi="ar-SA"/>
        </w:rPr>
        <w:t>；完成质量指标</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资金保障率较高</w:t>
      </w:r>
      <w:r>
        <w:rPr>
          <w:rFonts w:hint="default" w:ascii="Times New Roman" w:hAnsi="Times New Roman" w:eastAsia="仿宋_GB2312" w:cs="Times New Roman"/>
          <w:color w:val="auto"/>
          <w:kern w:val="2"/>
          <w:sz w:val="32"/>
          <w:szCs w:val="32"/>
          <w:lang w:val="zh-CN" w:eastAsia="zh-CN" w:bidi="ar-SA"/>
        </w:rPr>
        <w:t>等。完成新校区尾款支付，改善办学条件</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未发现问题</w:t>
      </w:r>
      <w:r>
        <w:rPr>
          <w:rFonts w:hint="eastAsia" w:ascii="Times New Roman" w:hAnsi="Times New Roman" w:eastAsia="仿宋_GB2312" w:cs="Times New Roman"/>
          <w:color w:val="auto"/>
          <w:kern w:val="2"/>
          <w:sz w:val="32"/>
          <w:szCs w:val="32"/>
          <w:lang w:val="zh-CN"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47"/>
        <w:gridCol w:w="559"/>
        <w:gridCol w:w="780"/>
        <w:gridCol w:w="841"/>
        <w:gridCol w:w="1437"/>
        <w:gridCol w:w="432"/>
        <w:gridCol w:w="432"/>
        <w:gridCol w:w="312"/>
        <w:gridCol w:w="886"/>
        <w:gridCol w:w="1116"/>
        <w:gridCol w:w="648"/>
        <w:gridCol w:w="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50" w:hRule="atLeast"/>
        </w:trPr>
        <w:tc>
          <w:tcPr>
            <w:tcW w:w="5000" w:type="pct"/>
            <w:gridSpan w:val="12"/>
            <w:vMerge w:val="continue"/>
            <w:shd w:val="clear" w:color="auto" w:fill="auto"/>
            <w:noWrap/>
            <w:vAlign w:val="center"/>
          </w:tcPr>
          <w:p>
            <w:pPr>
              <w:jc w:val="center"/>
              <w:rPr>
                <w:rFonts w:hint="default" w:ascii="Arial" w:hAnsi="Arial" w:eastAsia="宋体" w:cs="Arial"/>
                <w:i w:val="0"/>
                <w:iCs w:val="0"/>
                <w:color w:val="000000"/>
                <w:sz w:val="36"/>
                <w:szCs w:val="3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4" w:type="pct"/>
            <w:shd w:val="clear" w:color="auto" w:fill="auto"/>
            <w:noWrap/>
            <w:vAlign w:val="top"/>
          </w:tcPr>
          <w:p>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305" w:type="pct"/>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928" w:type="pct"/>
            <w:gridSpan w:val="2"/>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2023</w:t>
            </w:r>
            <w:r>
              <w:rPr>
                <w:rStyle w:val="20"/>
                <w:lang w:val="en-US" w:eastAsia="zh-CN" w:bidi="ar"/>
              </w:rPr>
              <w:t>年省级高等职业教育生均拨款（设备购置）</w:t>
            </w:r>
          </w:p>
        </w:tc>
        <w:tc>
          <w:tcPr>
            <w:tcW w:w="983" w:type="pct"/>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207" w:type="pc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322" w:type="pct"/>
            <w:gridSpan w:val="2"/>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1294" w:type="pct"/>
            <w:gridSpan w:val="2"/>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454023 - 河北地质职工大学（河北省地质矿产勘查开发局技工学校）</w:t>
            </w:r>
          </w:p>
        </w:tc>
        <w:tc>
          <w:tcPr>
            <w:tcW w:w="374" w:type="pct"/>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208" w:type="pct"/>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4" w:type="pct"/>
            <w:vMerge w:val="restar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747" w:type="pct"/>
            <w:gridSpan w:val="2"/>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1677" w:type="pct"/>
            <w:gridSpan w:val="3"/>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1617" w:type="pct"/>
            <w:gridSpan w:val="4"/>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583" w:type="pct"/>
            <w:gridSpan w:val="2"/>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4"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305" w:type="pct"/>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441"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292.260000</w:t>
            </w:r>
          </w:p>
        </w:tc>
        <w:tc>
          <w:tcPr>
            <w:tcW w:w="486" w:type="pct"/>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1191" w:type="pct"/>
            <w:gridSpan w:val="2"/>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292.260000</w:t>
            </w:r>
          </w:p>
        </w:tc>
        <w:tc>
          <w:tcPr>
            <w:tcW w:w="322" w:type="pct"/>
            <w:gridSpan w:val="2"/>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1294" w:type="pct"/>
            <w:gridSpan w:val="2"/>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288.613000</w:t>
            </w:r>
          </w:p>
        </w:tc>
        <w:tc>
          <w:tcPr>
            <w:tcW w:w="583" w:type="pct"/>
            <w:gridSpan w:val="2"/>
            <w:vMerge w:val="restar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4"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305" w:type="pct"/>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441"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292.260000</w:t>
            </w:r>
          </w:p>
        </w:tc>
        <w:tc>
          <w:tcPr>
            <w:tcW w:w="486" w:type="pct"/>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1191" w:type="pct"/>
            <w:gridSpan w:val="2"/>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292.260000</w:t>
            </w:r>
          </w:p>
        </w:tc>
        <w:tc>
          <w:tcPr>
            <w:tcW w:w="322" w:type="pct"/>
            <w:gridSpan w:val="2"/>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1294" w:type="pct"/>
            <w:gridSpan w:val="2"/>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288.613000</w:t>
            </w:r>
          </w:p>
        </w:tc>
        <w:tc>
          <w:tcPr>
            <w:tcW w:w="583" w:type="pct"/>
            <w:gridSpan w:val="2"/>
            <w:vMerge w:val="continue"/>
            <w:shd w:val="clear" w:color="auto" w:fill="auto"/>
            <w:noWrap/>
            <w:vAlign w:val="top"/>
          </w:tcPr>
          <w:p>
            <w:pPr>
              <w:jc w:val="right"/>
              <w:rPr>
                <w:rFonts w:hint="default" w:ascii="Calibri" w:hAnsi="Calibri" w:eastAsia="宋体" w:cs="Calibri"/>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4"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305" w:type="pct"/>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441"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486" w:type="pct"/>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1191" w:type="pct"/>
            <w:gridSpan w:val="2"/>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322" w:type="pct"/>
            <w:gridSpan w:val="2"/>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1294" w:type="pct"/>
            <w:gridSpan w:val="2"/>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583" w:type="pct"/>
            <w:gridSpan w:val="2"/>
            <w:vMerge w:val="continue"/>
            <w:shd w:val="clear" w:color="auto" w:fill="auto"/>
            <w:noWrap/>
            <w:vAlign w:val="top"/>
          </w:tcPr>
          <w:p>
            <w:pPr>
              <w:jc w:val="right"/>
              <w:rPr>
                <w:rFonts w:hint="default" w:ascii="Calibri" w:hAnsi="Calibri" w:eastAsia="宋体" w:cs="Calibri"/>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4" w:type="pct"/>
            <w:vMerge w:val="restar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2217" w:type="pct"/>
            <w:gridSpan w:val="4"/>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1824" w:type="pct"/>
            <w:gridSpan w:val="5"/>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583" w:type="pct"/>
            <w:gridSpan w:val="2"/>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4"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2217" w:type="pct"/>
            <w:gridSpan w:val="4"/>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完成教学仪器设备购置，提高办学基础条件。</w:t>
            </w:r>
          </w:p>
        </w:tc>
        <w:tc>
          <w:tcPr>
            <w:tcW w:w="1824" w:type="pct"/>
            <w:gridSpan w:val="5"/>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教学设备采购完成，办学基础条件得到提高。</w:t>
            </w:r>
          </w:p>
        </w:tc>
        <w:tc>
          <w:tcPr>
            <w:tcW w:w="583" w:type="pct"/>
            <w:gridSpan w:val="2"/>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4" w:type="pct"/>
            <w:vMerge w:val="restart"/>
            <w:shd w:val="clear" w:color="auto" w:fill="auto"/>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305" w:type="pct"/>
            <w:vMerge w:val="restar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441" w:type="pct"/>
            <w:vMerge w:val="restar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486" w:type="pct"/>
            <w:vMerge w:val="restar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983" w:type="pct"/>
            <w:vMerge w:val="restar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207" w:type="pct"/>
            <w:vMerge w:val="restar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881" w:type="pct"/>
            <w:gridSpan w:val="3"/>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735" w:type="pct"/>
            <w:vMerge w:val="restar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374" w:type="pct"/>
            <w:vMerge w:val="restar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208" w:type="pct"/>
            <w:vMerge w:val="restar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4" w:type="pct"/>
            <w:vMerge w:val="continue"/>
            <w:shd w:val="clear" w:color="auto" w:fill="auto"/>
            <w:vAlign w:val="top"/>
          </w:tcPr>
          <w:p>
            <w:pPr>
              <w:jc w:val="center"/>
              <w:rPr>
                <w:rFonts w:hint="default" w:ascii="Calibri" w:hAnsi="Calibri" w:eastAsia="宋体" w:cs="Calibri"/>
                <w:i w:val="0"/>
                <w:iCs w:val="0"/>
                <w:color w:val="000000"/>
                <w:sz w:val="22"/>
                <w:szCs w:val="22"/>
                <w:u w:val="none"/>
              </w:rPr>
            </w:pPr>
          </w:p>
        </w:tc>
        <w:tc>
          <w:tcPr>
            <w:tcW w:w="305"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441"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486"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983"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207"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207" w:type="pc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114" w:type="pc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559" w:type="pc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735"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374"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208"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4" w:type="pct"/>
            <w:vMerge w:val="continue"/>
            <w:shd w:val="clear" w:color="auto" w:fill="auto"/>
            <w:vAlign w:val="top"/>
          </w:tcPr>
          <w:p>
            <w:pPr>
              <w:jc w:val="center"/>
              <w:rPr>
                <w:rFonts w:hint="default" w:ascii="Calibri" w:hAnsi="Calibri" w:eastAsia="宋体" w:cs="Calibri"/>
                <w:i w:val="0"/>
                <w:iCs w:val="0"/>
                <w:color w:val="000000"/>
                <w:sz w:val="22"/>
                <w:szCs w:val="22"/>
                <w:u w:val="none"/>
              </w:rPr>
            </w:pPr>
          </w:p>
        </w:tc>
        <w:tc>
          <w:tcPr>
            <w:tcW w:w="305" w:type="pct"/>
            <w:vMerge w:val="restart"/>
            <w:shd w:val="clear" w:color="auto" w:fill="auto"/>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441"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486"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购置办公设备数量</w:t>
            </w:r>
          </w:p>
        </w:tc>
        <w:tc>
          <w:tcPr>
            <w:tcW w:w="983"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购置办公设备数量</w:t>
            </w:r>
          </w:p>
        </w:tc>
        <w:tc>
          <w:tcPr>
            <w:tcW w:w="207"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207"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14"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882</w:t>
            </w:r>
          </w:p>
        </w:tc>
        <w:tc>
          <w:tcPr>
            <w:tcW w:w="55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台/组/根/个/辆</w:t>
            </w:r>
          </w:p>
        </w:tc>
        <w:tc>
          <w:tcPr>
            <w:tcW w:w="735" w:type="pct"/>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882台</w:t>
            </w:r>
          </w:p>
        </w:tc>
        <w:tc>
          <w:tcPr>
            <w:tcW w:w="374" w:type="pc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208"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74" w:type="pct"/>
            <w:vMerge w:val="continue"/>
            <w:shd w:val="clear" w:color="auto" w:fill="auto"/>
            <w:vAlign w:val="top"/>
          </w:tcPr>
          <w:p>
            <w:pPr>
              <w:jc w:val="center"/>
              <w:rPr>
                <w:rFonts w:hint="default" w:ascii="Calibri" w:hAnsi="Calibri" w:eastAsia="宋体" w:cs="Calibri"/>
                <w:i w:val="0"/>
                <w:iCs w:val="0"/>
                <w:color w:val="000000"/>
                <w:sz w:val="22"/>
                <w:szCs w:val="22"/>
                <w:u w:val="none"/>
              </w:rPr>
            </w:pPr>
          </w:p>
        </w:tc>
        <w:tc>
          <w:tcPr>
            <w:tcW w:w="305" w:type="pct"/>
            <w:vMerge w:val="continue"/>
            <w:shd w:val="clear" w:color="auto" w:fill="auto"/>
            <w:noWrap/>
            <w:vAlign w:val="top"/>
          </w:tcPr>
          <w:p>
            <w:pPr>
              <w:jc w:val="center"/>
              <w:rPr>
                <w:rFonts w:hint="default" w:ascii="Arial" w:hAnsi="Arial" w:eastAsia="宋体" w:cs="Arial"/>
                <w:b/>
                <w:bCs/>
                <w:i w:val="0"/>
                <w:iCs w:val="0"/>
                <w:color w:val="000000"/>
                <w:sz w:val="22"/>
                <w:szCs w:val="22"/>
                <w:u w:val="none"/>
              </w:rPr>
            </w:pPr>
          </w:p>
        </w:tc>
        <w:tc>
          <w:tcPr>
            <w:tcW w:w="441" w:type="pct"/>
            <w:shd w:val="clear" w:color="auto" w:fill="E9EFF6"/>
            <w:noWrap/>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质量指标</w:t>
            </w:r>
          </w:p>
        </w:tc>
        <w:tc>
          <w:tcPr>
            <w:tcW w:w="486"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验收合格率</w:t>
            </w:r>
          </w:p>
        </w:tc>
        <w:tc>
          <w:tcPr>
            <w:tcW w:w="983"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验收合格率</w:t>
            </w:r>
          </w:p>
        </w:tc>
        <w:tc>
          <w:tcPr>
            <w:tcW w:w="207"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207"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14"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55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735" w:type="pct"/>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374" w:type="pc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208"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4" w:type="pct"/>
            <w:vMerge w:val="continue"/>
            <w:shd w:val="clear" w:color="auto" w:fill="auto"/>
            <w:vAlign w:val="top"/>
          </w:tcPr>
          <w:p>
            <w:pPr>
              <w:jc w:val="center"/>
              <w:rPr>
                <w:rFonts w:hint="default" w:ascii="Calibri" w:hAnsi="Calibri" w:eastAsia="宋体" w:cs="Calibri"/>
                <w:i w:val="0"/>
                <w:iCs w:val="0"/>
                <w:color w:val="000000"/>
                <w:sz w:val="22"/>
                <w:szCs w:val="22"/>
                <w:u w:val="none"/>
              </w:rPr>
            </w:pPr>
          </w:p>
        </w:tc>
        <w:tc>
          <w:tcPr>
            <w:tcW w:w="305" w:type="pct"/>
            <w:vMerge w:val="continue"/>
            <w:shd w:val="clear" w:color="auto" w:fill="auto"/>
            <w:noWrap/>
            <w:vAlign w:val="top"/>
          </w:tcPr>
          <w:p>
            <w:pPr>
              <w:jc w:val="center"/>
              <w:rPr>
                <w:rFonts w:hint="default" w:ascii="Arial" w:hAnsi="Arial" w:eastAsia="宋体" w:cs="Arial"/>
                <w:b/>
                <w:bCs/>
                <w:i w:val="0"/>
                <w:iCs w:val="0"/>
                <w:color w:val="000000"/>
                <w:sz w:val="22"/>
                <w:szCs w:val="22"/>
                <w:u w:val="none"/>
              </w:rPr>
            </w:pPr>
          </w:p>
        </w:tc>
        <w:tc>
          <w:tcPr>
            <w:tcW w:w="441"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486"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验收时间</w:t>
            </w:r>
          </w:p>
        </w:tc>
        <w:tc>
          <w:tcPr>
            <w:tcW w:w="983"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验收时间</w:t>
            </w:r>
          </w:p>
        </w:tc>
        <w:tc>
          <w:tcPr>
            <w:tcW w:w="207"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207"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114" w:type="pct"/>
            <w:shd w:val="clear" w:color="auto" w:fill="E9EFF6"/>
            <w:noWrap/>
            <w:vAlign w:val="top"/>
          </w:tcPr>
          <w:p>
            <w:pPr>
              <w:rPr>
                <w:rFonts w:hint="default" w:ascii="Calibri" w:hAnsi="Calibri" w:eastAsia="宋体" w:cs="Calibri"/>
                <w:i w:val="0"/>
                <w:iCs w:val="0"/>
                <w:color w:val="000000"/>
                <w:sz w:val="22"/>
                <w:szCs w:val="22"/>
                <w:u w:val="none"/>
              </w:rPr>
            </w:pPr>
          </w:p>
        </w:tc>
        <w:tc>
          <w:tcPr>
            <w:tcW w:w="55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10月前</w:t>
            </w:r>
          </w:p>
        </w:tc>
        <w:tc>
          <w:tcPr>
            <w:tcW w:w="735" w:type="pct"/>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10月份</w:t>
            </w:r>
          </w:p>
        </w:tc>
        <w:tc>
          <w:tcPr>
            <w:tcW w:w="374" w:type="pc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未完成</w:t>
            </w:r>
          </w:p>
        </w:tc>
        <w:tc>
          <w:tcPr>
            <w:tcW w:w="208"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4" w:type="pct"/>
            <w:vMerge w:val="continue"/>
            <w:shd w:val="clear" w:color="auto" w:fill="auto"/>
            <w:vAlign w:val="top"/>
          </w:tcPr>
          <w:p>
            <w:pPr>
              <w:jc w:val="center"/>
              <w:rPr>
                <w:rFonts w:hint="default" w:ascii="Calibri" w:hAnsi="Calibri" w:eastAsia="宋体" w:cs="Calibri"/>
                <w:i w:val="0"/>
                <w:iCs w:val="0"/>
                <w:color w:val="000000"/>
                <w:sz w:val="22"/>
                <w:szCs w:val="22"/>
                <w:u w:val="none"/>
              </w:rPr>
            </w:pPr>
          </w:p>
        </w:tc>
        <w:tc>
          <w:tcPr>
            <w:tcW w:w="305" w:type="pct"/>
            <w:vMerge w:val="continue"/>
            <w:shd w:val="clear" w:color="auto" w:fill="auto"/>
            <w:noWrap/>
            <w:vAlign w:val="top"/>
          </w:tcPr>
          <w:p>
            <w:pPr>
              <w:jc w:val="center"/>
              <w:rPr>
                <w:rFonts w:hint="default" w:ascii="Arial" w:hAnsi="Arial" w:eastAsia="宋体" w:cs="Arial"/>
                <w:b/>
                <w:bCs/>
                <w:i w:val="0"/>
                <w:iCs w:val="0"/>
                <w:color w:val="000000"/>
                <w:sz w:val="22"/>
                <w:szCs w:val="22"/>
                <w:u w:val="none"/>
              </w:rPr>
            </w:pPr>
          </w:p>
        </w:tc>
        <w:tc>
          <w:tcPr>
            <w:tcW w:w="441"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486"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办公设备单位购置成本</w:t>
            </w:r>
          </w:p>
        </w:tc>
        <w:tc>
          <w:tcPr>
            <w:tcW w:w="983"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每台/组/根/个/辆设备购置成本</w:t>
            </w:r>
          </w:p>
        </w:tc>
        <w:tc>
          <w:tcPr>
            <w:tcW w:w="207"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207"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14"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0.33</w:t>
            </w:r>
          </w:p>
        </w:tc>
        <w:tc>
          <w:tcPr>
            <w:tcW w:w="55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735" w:type="pct"/>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0.32万元</w:t>
            </w:r>
          </w:p>
        </w:tc>
        <w:tc>
          <w:tcPr>
            <w:tcW w:w="374" w:type="pc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208"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74" w:type="pct"/>
            <w:vMerge w:val="continue"/>
            <w:shd w:val="clear" w:color="auto" w:fill="auto"/>
            <w:vAlign w:val="top"/>
          </w:tcPr>
          <w:p>
            <w:pPr>
              <w:jc w:val="center"/>
              <w:rPr>
                <w:rFonts w:hint="default" w:ascii="Calibri" w:hAnsi="Calibri" w:eastAsia="宋体" w:cs="Calibri"/>
                <w:i w:val="0"/>
                <w:iCs w:val="0"/>
                <w:color w:val="000000"/>
                <w:sz w:val="22"/>
                <w:szCs w:val="22"/>
                <w:u w:val="none"/>
              </w:rPr>
            </w:pPr>
          </w:p>
        </w:tc>
        <w:tc>
          <w:tcPr>
            <w:tcW w:w="305" w:type="pct"/>
            <w:shd w:val="clear" w:color="auto" w:fill="auto"/>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441"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486"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设备利用率</w:t>
            </w:r>
          </w:p>
        </w:tc>
        <w:tc>
          <w:tcPr>
            <w:tcW w:w="983"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设备利用率=实际利用程度/设备设计利用程度*100%</w:t>
            </w:r>
          </w:p>
        </w:tc>
        <w:tc>
          <w:tcPr>
            <w:tcW w:w="207"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30.00</w:t>
            </w:r>
          </w:p>
        </w:tc>
        <w:tc>
          <w:tcPr>
            <w:tcW w:w="207"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14"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55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735" w:type="pct"/>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374" w:type="pc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208"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4" w:type="pct"/>
            <w:vMerge w:val="continue"/>
            <w:shd w:val="clear" w:color="auto" w:fill="auto"/>
            <w:vAlign w:val="top"/>
          </w:tcPr>
          <w:p>
            <w:pPr>
              <w:jc w:val="center"/>
              <w:rPr>
                <w:rFonts w:hint="default" w:ascii="Calibri" w:hAnsi="Calibri" w:eastAsia="宋体" w:cs="Calibri"/>
                <w:i w:val="0"/>
                <w:iCs w:val="0"/>
                <w:color w:val="000000"/>
                <w:sz w:val="22"/>
                <w:szCs w:val="22"/>
                <w:u w:val="none"/>
              </w:rPr>
            </w:pPr>
          </w:p>
        </w:tc>
        <w:tc>
          <w:tcPr>
            <w:tcW w:w="305" w:type="pct"/>
            <w:shd w:val="clear" w:color="auto" w:fill="auto"/>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441"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486"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使用人员满意度</w:t>
            </w:r>
          </w:p>
        </w:tc>
        <w:tc>
          <w:tcPr>
            <w:tcW w:w="983"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使用人员满意度</w:t>
            </w:r>
          </w:p>
        </w:tc>
        <w:tc>
          <w:tcPr>
            <w:tcW w:w="207"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207"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14"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55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735" w:type="pct"/>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0.98</w:t>
            </w:r>
          </w:p>
        </w:tc>
        <w:tc>
          <w:tcPr>
            <w:tcW w:w="374" w:type="pc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208"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4" w:type="pct"/>
            <w:vMerge w:val="continue"/>
            <w:shd w:val="clear" w:color="auto" w:fill="auto"/>
            <w:vAlign w:val="top"/>
          </w:tcPr>
          <w:p>
            <w:pPr>
              <w:jc w:val="center"/>
              <w:rPr>
                <w:rFonts w:hint="default" w:ascii="Calibri" w:hAnsi="Calibri" w:eastAsia="宋体" w:cs="Calibri"/>
                <w:i w:val="0"/>
                <w:iCs w:val="0"/>
                <w:color w:val="000000"/>
                <w:sz w:val="22"/>
                <w:szCs w:val="22"/>
                <w:u w:val="none"/>
              </w:rPr>
            </w:pPr>
          </w:p>
        </w:tc>
        <w:tc>
          <w:tcPr>
            <w:tcW w:w="305" w:type="pct"/>
            <w:shd w:val="clear" w:color="auto" w:fill="auto"/>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441"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486" w:type="pct"/>
            <w:shd w:val="clear" w:color="auto" w:fill="E9EFF6"/>
            <w:noWrap/>
            <w:vAlign w:val="top"/>
          </w:tcPr>
          <w:p>
            <w:pPr>
              <w:rPr>
                <w:rFonts w:hint="default" w:ascii="Calibri" w:hAnsi="Calibri" w:eastAsia="宋体" w:cs="Calibri"/>
                <w:i w:val="0"/>
                <w:iCs w:val="0"/>
                <w:color w:val="000000"/>
                <w:sz w:val="22"/>
                <w:szCs w:val="22"/>
                <w:u w:val="none"/>
              </w:rPr>
            </w:pPr>
          </w:p>
        </w:tc>
        <w:tc>
          <w:tcPr>
            <w:tcW w:w="983" w:type="pct"/>
            <w:shd w:val="clear" w:color="auto" w:fill="E9EFF6"/>
            <w:noWrap/>
            <w:vAlign w:val="top"/>
          </w:tcPr>
          <w:p>
            <w:pPr>
              <w:rPr>
                <w:rFonts w:hint="default" w:ascii="Calibri" w:hAnsi="Calibri" w:eastAsia="宋体" w:cs="Calibri"/>
                <w:i w:val="0"/>
                <w:iCs w:val="0"/>
                <w:color w:val="000000"/>
                <w:sz w:val="22"/>
                <w:szCs w:val="22"/>
                <w:u w:val="none"/>
              </w:rPr>
            </w:pPr>
          </w:p>
        </w:tc>
        <w:tc>
          <w:tcPr>
            <w:tcW w:w="207" w:type="pct"/>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207" w:type="pct"/>
            <w:shd w:val="clear" w:color="auto" w:fill="E9EFF6"/>
            <w:noWrap/>
            <w:vAlign w:val="top"/>
          </w:tcPr>
          <w:p>
            <w:pPr>
              <w:rPr>
                <w:rFonts w:hint="default" w:ascii="Calibri" w:hAnsi="Calibri" w:eastAsia="宋体" w:cs="Calibri"/>
                <w:i w:val="0"/>
                <w:iCs w:val="0"/>
                <w:color w:val="000000"/>
                <w:sz w:val="22"/>
                <w:szCs w:val="22"/>
                <w:u w:val="none"/>
              </w:rPr>
            </w:pPr>
          </w:p>
        </w:tc>
        <w:tc>
          <w:tcPr>
            <w:tcW w:w="114" w:type="pct"/>
            <w:shd w:val="clear" w:color="auto" w:fill="E9EFF6"/>
            <w:noWrap/>
            <w:vAlign w:val="top"/>
          </w:tcPr>
          <w:p>
            <w:pPr>
              <w:rPr>
                <w:rFonts w:hint="default" w:ascii="Calibri" w:hAnsi="Calibri" w:eastAsia="宋体" w:cs="Calibri"/>
                <w:i w:val="0"/>
                <w:iCs w:val="0"/>
                <w:color w:val="000000"/>
                <w:sz w:val="22"/>
                <w:szCs w:val="22"/>
                <w:u w:val="none"/>
              </w:rPr>
            </w:pPr>
          </w:p>
        </w:tc>
        <w:tc>
          <w:tcPr>
            <w:tcW w:w="559" w:type="pct"/>
            <w:shd w:val="clear" w:color="auto" w:fill="E9EFF6"/>
            <w:noWrap/>
            <w:vAlign w:val="top"/>
          </w:tcPr>
          <w:p>
            <w:pPr>
              <w:rPr>
                <w:rFonts w:hint="default" w:ascii="Calibri" w:hAnsi="Calibri" w:eastAsia="宋体" w:cs="Calibri"/>
                <w:i w:val="0"/>
                <w:iCs w:val="0"/>
                <w:color w:val="000000"/>
                <w:sz w:val="22"/>
                <w:szCs w:val="22"/>
                <w:u w:val="none"/>
              </w:rPr>
            </w:pPr>
          </w:p>
        </w:tc>
        <w:tc>
          <w:tcPr>
            <w:tcW w:w="735" w:type="pct"/>
            <w:shd w:val="clear" w:color="auto" w:fill="E9EFF6"/>
            <w:noWrap/>
            <w:vAlign w:val="top"/>
          </w:tcPr>
          <w:p>
            <w:pPr>
              <w:rPr>
                <w:rFonts w:hint="default" w:ascii="Calibri" w:hAnsi="Calibri" w:eastAsia="宋体" w:cs="Calibri"/>
                <w:i w:val="0"/>
                <w:iCs w:val="0"/>
                <w:color w:val="000000"/>
                <w:sz w:val="22"/>
                <w:szCs w:val="22"/>
                <w:u w:val="none"/>
              </w:rPr>
            </w:pPr>
          </w:p>
        </w:tc>
        <w:tc>
          <w:tcPr>
            <w:tcW w:w="374" w:type="pct"/>
            <w:shd w:val="clear" w:color="auto" w:fill="E9EFF6"/>
            <w:noWrap/>
            <w:vAlign w:val="top"/>
          </w:tcPr>
          <w:p>
            <w:pPr>
              <w:rPr>
                <w:rFonts w:hint="default" w:ascii="Calibri" w:hAnsi="Calibri" w:eastAsia="宋体" w:cs="Calibri"/>
                <w:i w:val="0"/>
                <w:iCs w:val="0"/>
                <w:color w:val="000000"/>
                <w:sz w:val="22"/>
                <w:szCs w:val="22"/>
                <w:u w:val="none"/>
              </w:rPr>
            </w:pPr>
          </w:p>
        </w:tc>
        <w:tc>
          <w:tcPr>
            <w:tcW w:w="208"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4" w:type="pct"/>
            <w:vMerge w:val="continue"/>
            <w:shd w:val="clear" w:color="auto" w:fill="auto"/>
            <w:vAlign w:val="top"/>
          </w:tcPr>
          <w:p>
            <w:pPr>
              <w:jc w:val="center"/>
              <w:rPr>
                <w:rFonts w:hint="default" w:ascii="Calibri" w:hAnsi="Calibri" w:eastAsia="宋体" w:cs="Calibri"/>
                <w:i w:val="0"/>
                <w:iCs w:val="0"/>
                <w:color w:val="000000"/>
                <w:sz w:val="22"/>
                <w:szCs w:val="22"/>
                <w:u w:val="none"/>
              </w:rPr>
            </w:pPr>
          </w:p>
        </w:tc>
        <w:tc>
          <w:tcPr>
            <w:tcW w:w="305" w:type="pct"/>
            <w:shd w:val="clear" w:color="auto" w:fill="auto"/>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4319" w:type="pct"/>
            <w:gridSpan w:val="10"/>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4" w:type="pct"/>
            <w:vMerge w:val="restart"/>
            <w:shd w:val="clear" w:color="auto" w:fill="auto"/>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4625" w:type="pct"/>
            <w:gridSpan w:val="11"/>
            <w:vMerge w:val="restart"/>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问题：设备采购验收卡在10月节点完成。措施：设备采购工作应尽量提前，以避免不能按时完成采购任务.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4" w:type="pct"/>
            <w:vMerge w:val="continue"/>
            <w:shd w:val="clear" w:color="auto" w:fill="auto"/>
            <w:vAlign w:val="top"/>
          </w:tcPr>
          <w:p>
            <w:pPr>
              <w:jc w:val="center"/>
              <w:rPr>
                <w:rFonts w:hint="default" w:ascii="Calibri" w:hAnsi="Calibri" w:eastAsia="宋体" w:cs="Calibri"/>
                <w:i w:val="0"/>
                <w:iCs w:val="0"/>
                <w:color w:val="000000"/>
                <w:sz w:val="22"/>
                <w:szCs w:val="22"/>
                <w:u w:val="none"/>
              </w:rPr>
            </w:pPr>
          </w:p>
        </w:tc>
        <w:tc>
          <w:tcPr>
            <w:tcW w:w="4625" w:type="pct"/>
            <w:gridSpan w:val="11"/>
            <w:vMerge w:val="continue"/>
            <w:shd w:val="clear" w:color="auto" w:fill="auto"/>
            <w:noWrap/>
            <w:vAlign w:val="top"/>
          </w:tcPr>
          <w:p>
            <w:pPr>
              <w:jc w:val="left"/>
              <w:rPr>
                <w:rFonts w:hint="default" w:ascii="Calibri" w:hAnsi="Calibri" w:eastAsia="宋体" w:cs="Calibri"/>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4" w:type="pc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1233" w:type="pct"/>
            <w:gridSpan w:val="3"/>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常会芝</w:t>
            </w:r>
          </w:p>
        </w:tc>
        <w:tc>
          <w:tcPr>
            <w:tcW w:w="983" w:type="pct"/>
            <w:shd w:val="clear" w:color="auto" w:fill="auto"/>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2407" w:type="pct"/>
            <w:gridSpan w:val="7"/>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0311-83608979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0" w:hRule="atLeast"/>
        </w:trPr>
        <w:tc>
          <w:tcPr>
            <w:tcW w:w="374" w:type="pct"/>
            <w:vMerge w:val="restar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说明:</w:t>
            </w:r>
          </w:p>
        </w:tc>
        <w:tc>
          <w:tcPr>
            <w:tcW w:w="4625" w:type="pct"/>
            <w:gridSpan w:val="11"/>
            <w:vMerge w:val="restart"/>
            <w:shd w:val="clear" w:color="auto" w:fill="auto"/>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0" w:hRule="atLeast"/>
        </w:trPr>
        <w:tc>
          <w:tcPr>
            <w:tcW w:w="374"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4625" w:type="pct"/>
            <w:gridSpan w:val="11"/>
            <w:vMerge w:val="continue"/>
            <w:shd w:val="clear" w:color="auto" w:fill="auto"/>
            <w:vAlign w:val="top"/>
          </w:tcPr>
          <w:p>
            <w:pPr>
              <w:rPr>
                <w:rFonts w:hint="default" w:ascii="Calibri" w:hAnsi="Calibri" w:eastAsia="宋体" w:cs="Calibri"/>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0" w:hRule="atLeast"/>
        </w:trPr>
        <w:tc>
          <w:tcPr>
            <w:tcW w:w="374"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4625" w:type="pct"/>
            <w:gridSpan w:val="11"/>
            <w:vMerge w:val="continue"/>
            <w:shd w:val="clear" w:color="auto" w:fill="auto"/>
            <w:vAlign w:val="top"/>
          </w:tcPr>
          <w:p>
            <w:pPr>
              <w:rPr>
                <w:rFonts w:hint="default" w:ascii="Calibri" w:hAnsi="Calibri" w:eastAsia="宋体" w:cs="Calibri"/>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0" w:hRule="atLeast"/>
        </w:trPr>
        <w:tc>
          <w:tcPr>
            <w:tcW w:w="374"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4625" w:type="pct"/>
            <w:gridSpan w:val="11"/>
            <w:vMerge w:val="continue"/>
            <w:shd w:val="clear" w:color="auto" w:fill="auto"/>
            <w:vAlign w:val="top"/>
          </w:tcPr>
          <w:p>
            <w:pPr>
              <w:rPr>
                <w:rFonts w:hint="default" w:ascii="Calibri" w:hAnsi="Calibri" w:eastAsia="宋体" w:cs="Calibri"/>
                <w:i w:val="0"/>
                <w:iCs w:val="0"/>
                <w:color w:val="000000"/>
                <w:sz w:val="22"/>
                <w:szCs w:val="22"/>
                <w:u w:val="none"/>
              </w:rPr>
            </w:pP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40"/>
        <w:gridCol w:w="633"/>
        <w:gridCol w:w="609"/>
        <w:gridCol w:w="806"/>
        <w:gridCol w:w="871"/>
        <w:gridCol w:w="478"/>
        <w:gridCol w:w="478"/>
        <w:gridCol w:w="349"/>
        <w:gridCol w:w="1213"/>
        <w:gridCol w:w="1126"/>
        <w:gridCol w:w="740"/>
        <w:gridCol w:w="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2023年度预算项目绩效自评表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pPr>
              <w:jc w:val="center"/>
              <w:rPr>
                <w:rFonts w:hint="default" w:ascii="Arial" w:hAnsi="Arial" w:eastAsia="宋体" w:cs="Arial"/>
                <w:i w:val="0"/>
                <w:iCs w:val="0"/>
                <w:color w:val="000000"/>
                <w:sz w:val="36"/>
                <w:szCs w:val="3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7" w:type="pct"/>
            <w:shd w:val="clear" w:color="auto" w:fill="auto"/>
            <w:noWrap/>
            <w:vAlign w:val="top"/>
          </w:tcPr>
          <w:p>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367" w:type="pct"/>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849" w:type="pct"/>
            <w:gridSpan w:val="2"/>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2023</w:t>
            </w:r>
            <w:r>
              <w:rPr>
                <w:rFonts w:hint="eastAsia" w:ascii="宋体" w:hAnsi="宋体" w:eastAsia="宋体" w:cs="宋体"/>
                <w:i w:val="0"/>
                <w:iCs w:val="0"/>
                <w:color w:val="000000"/>
                <w:kern w:val="0"/>
                <w:sz w:val="22"/>
                <w:szCs w:val="22"/>
                <w:u w:val="none"/>
                <w:lang w:val="en-US" w:eastAsia="zh-CN" w:bidi="ar"/>
              </w:rPr>
              <w:t>新校区工程尾款项目</w:t>
            </w:r>
          </w:p>
        </w:tc>
        <w:tc>
          <w:tcPr>
            <w:tcW w:w="549" w:type="pct"/>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249" w:type="pc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400" w:type="pct"/>
            <w:gridSpan w:val="2"/>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1426" w:type="pct"/>
            <w:gridSpan w:val="2"/>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454023 - 河北地质职工大学（河北省地质矿产勘查开发局技工学校）</w:t>
            </w:r>
          </w:p>
        </w:tc>
        <w:tc>
          <w:tcPr>
            <w:tcW w:w="449" w:type="pct"/>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250" w:type="pct"/>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7" w:type="pct"/>
            <w:vMerge w:val="restar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717" w:type="pct"/>
            <w:gridSpan w:val="2"/>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1299" w:type="pct"/>
            <w:gridSpan w:val="3"/>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1826" w:type="pct"/>
            <w:gridSpan w:val="4"/>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699" w:type="pct"/>
            <w:gridSpan w:val="2"/>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7"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367" w:type="pct"/>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349"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3600.000000</w:t>
            </w:r>
          </w:p>
        </w:tc>
        <w:tc>
          <w:tcPr>
            <w:tcW w:w="499" w:type="pct"/>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799" w:type="pct"/>
            <w:gridSpan w:val="2"/>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3600.000000</w:t>
            </w:r>
          </w:p>
        </w:tc>
        <w:tc>
          <w:tcPr>
            <w:tcW w:w="400" w:type="pct"/>
            <w:gridSpan w:val="2"/>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1426" w:type="pct"/>
            <w:gridSpan w:val="2"/>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3597.722504</w:t>
            </w:r>
          </w:p>
        </w:tc>
        <w:tc>
          <w:tcPr>
            <w:tcW w:w="699" w:type="pct"/>
            <w:gridSpan w:val="2"/>
            <w:vMerge w:val="restar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7"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367" w:type="pct"/>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349"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3600.000000</w:t>
            </w:r>
          </w:p>
        </w:tc>
        <w:tc>
          <w:tcPr>
            <w:tcW w:w="499" w:type="pct"/>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799" w:type="pct"/>
            <w:gridSpan w:val="2"/>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3600.000000</w:t>
            </w:r>
          </w:p>
        </w:tc>
        <w:tc>
          <w:tcPr>
            <w:tcW w:w="400" w:type="pct"/>
            <w:gridSpan w:val="2"/>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1426" w:type="pct"/>
            <w:gridSpan w:val="2"/>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3597.722504</w:t>
            </w:r>
          </w:p>
        </w:tc>
        <w:tc>
          <w:tcPr>
            <w:tcW w:w="699" w:type="pct"/>
            <w:gridSpan w:val="2"/>
            <w:vMerge w:val="continue"/>
            <w:shd w:val="clear" w:color="auto" w:fill="auto"/>
            <w:noWrap/>
            <w:vAlign w:val="top"/>
          </w:tcPr>
          <w:p>
            <w:pPr>
              <w:jc w:val="right"/>
              <w:rPr>
                <w:rFonts w:hint="default" w:ascii="Calibri" w:hAnsi="Calibri" w:eastAsia="宋体" w:cs="Calibri"/>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7"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367" w:type="pct"/>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349"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499" w:type="pct"/>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799" w:type="pct"/>
            <w:gridSpan w:val="2"/>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400" w:type="pct"/>
            <w:gridSpan w:val="2"/>
            <w:shd w:val="clear" w:color="auto" w:fill="auto"/>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1426" w:type="pct"/>
            <w:gridSpan w:val="2"/>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699" w:type="pct"/>
            <w:gridSpan w:val="2"/>
            <w:vMerge w:val="continue"/>
            <w:shd w:val="clear" w:color="auto" w:fill="auto"/>
            <w:noWrap/>
            <w:vAlign w:val="top"/>
          </w:tcPr>
          <w:p>
            <w:pPr>
              <w:jc w:val="right"/>
              <w:rPr>
                <w:rFonts w:hint="default" w:ascii="Calibri" w:hAnsi="Calibri" w:eastAsia="宋体" w:cs="Calibri"/>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7" w:type="pct"/>
            <w:vMerge w:val="restar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1766" w:type="pct"/>
            <w:gridSpan w:val="4"/>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2075" w:type="pct"/>
            <w:gridSpan w:val="5"/>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699" w:type="pct"/>
            <w:gridSpan w:val="2"/>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7"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1766" w:type="pct"/>
            <w:gridSpan w:val="4"/>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补充新校区建设资金，改善基本办学条件</w:t>
            </w:r>
          </w:p>
        </w:tc>
        <w:tc>
          <w:tcPr>
            <w:tcW w:w="2075" w:type="pct"/>
            <w:gridSpan w:val="5"/>
            <w:shd w:val="clear" w:color="auto" w:fill="auto"/>
            <w:noWrap/>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完成新校区尾款支付，改善办学条件</w:t>
            </w:r>
          </w:p>
        </w:tc>
        <w:tc>
          <w:tcPr>
            <w:tcW w:w="699" w:type="pct"/>
            <w:gridSpan w:val="2"/>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7" w:type="pct"/>
            <w:vMerge w:val="restart"/>
            <w:shd w:val="clear" w:color="auto" w:fill="auto"/>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367" w:type="pct"/>
            <w:vMerge w:val="restar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349" w:type="pct"/>
            <w:vMerge w:val="restar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499" w:type="pct"/>
            <w:vMerge w:val="restar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549" w:type="pct"/>
            <w:vMerge w:val="restar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249" w:type="pct"/>
            <w:vMerge w:val="restar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1144" w:type="pct"/>
            <w:gridSpan w:val="3"/>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682" w:type="pct"/>
            <w:vMerge w:val="restar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449" w:type="pct"/>
            <w:vMerge w:val="restar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250" w:type="pct"/>
            <w:vMerge w:val="restar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7" w:type="pct"/>
            <w:vMerge w:val="continue"/>
            <w:shd w:val="clear" w:color="auto" w:fill="auto"/>
            <w:vAlign w:val="top"/>
          </w:tcPr>
          <w:p>
            <w:pPr>
              <w:jc w:val="center"/>
              <w:rPr>
                <w:rFonts w:hint="default" w:ascii="Calibri" w:hAnsi="Calibri" w:eastAsia="宋体" w:cs="Calibri"/>
                <w:i w:val="0"/>
                <w:iCs w:val="0"/>
                <w:color w:val="000000"/>
                <w:sz w:val="22"/>
                <w:szCs w:val="22"/>
                <w:u w:val="none"/>
              </w:rPr>
            </w:pPr>
          </w:p>
        </w:tc>
        <w:tc>
          <w:tcPr>
            <w:tcW w:w="367"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349"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499"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549"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249"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249" w:type="pc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150" w:type="pc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743" w:type="pc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682"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449"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250"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7" w:type="pct"/>
            <w:vMerge w:val="continue"/>
            <w:shd w:val="clear" w:color="auto" w:fill="auto"/>
            <w:vAlign w:val="top"/>
          </w:tcPr>
          <w:p>
            <w:pPr>
              <w:jc w:val="center"/>
              <w:rPr>
                <w:rFonts w:hint="default" w:ascii="Calibri" w:hAnsi="Calibri" w:eastAsia="宋体" w:cs="Calibri"/>
                <w:i w:val="0"/>
                <w:iCs w:val="0"/>
                <w:color w:val="000000"/>
                <w:sz w:val="22"/>
                <w:szCs w:val="22"/>
                <w:u w:val="none"/>
              </w:rPr>
            </w:pPr>
          </w:p>
        </w:tc>
        <w:tc>
          <w:tcPr>
            <w:tcW w:w="367" w:type="pct"/>
            <w:vMerge w:val="restart"/>
            <w:shd w:val="clear" w:color="auto" w:fill="auto"/>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34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49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补充新校区建设资金</w:t>
            </w:r>
          </w:p>
        </w:tc>
        <w:tc>
          <w:tcPr>
            <w:tcW w:w="54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补充新校区建设资金</w:t>
            </w:r>
          </w:p>
        </w:tc>
        <w:tc>
          <w:tcPr>
            <w:tcW w:w="249"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24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50"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3600</w:t>
            </w:r>
          </w:p>
        </w:tc>
        <w:tc>
          <w:tcPr>
            <w:tcW w:w="743"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682" w:type="pct"/>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3597.722504万元</w:t>
            </w:r>
          </w:p>
        </w:tc>
        <w:tc>
          <w:tcPr>
            <w:tcW w:w="449" w:type="pc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未完成</w:t>
            </w:r>
          </w:p>
        </w:tc>
        <w:tc>
          <w:tcPr>
            <w:tcW w:w="250"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7" w:type="pct"/>
            <w:vMerge w:val="continue"/>
            <w:shd w:val="clear" w:color="auto" w:fill="auto"/>
            <w:vAlign w:val="top"/>
          </w:tcPr>
          <w:p>
            <w:pPr>
              <w:jc w:val="center"/>
              <w:rPr>
                <w:rFonts w:hint="default" w:ascii="Calibri" w:hAnsi="Calibri" w:eastAsia="宋体" w:cs="Calibri"/>
                <w:i w:val="0"/>
                <w:iCs w:val="0"/>
                <w:color w:val="000000"/>
                <w:sz w:val="22"/>
                <w:szCs w:val="22"/>
                <w:u w:val="none"/>
              </w:rPr>
            </w:pPr>
          </w:p>
        </w:tc>
        <w:tc>
          <w:tcPr>
            <w:tcW w:w="367" w:type="pct"/>
            <w:vMerge w:val="continue"/>
            <w:shd w:val="clear" w:color="auto" w:fill="auto"/>
            <w:noWrap/>
            <w:vAlign w:val="top"/>
          </w:tcPr>
          <w:p>
            <w:pPr>
              <w:jc w:val="center"/>
              <w:rPr>
                <w:rFonts w:hint="default" w:ascii="Arial" w:hAnsi="Arial" w:eastAsia="宋体" w:cs="Arial"/>
                <w:b/>
                <w:bCs/>
                <w:i w:val="0"/>
                <w:iCs w:val="0"/>
                <w:color w:val="000000"/>
                <w:sz w:val="22"/>
                <w:szCs w:val="22"/>
                <w:u w:val="none"/>
              </w:rPr>
            </w:pPr>
          </w:p>
        </w:tc>
        <w:tc>
          <w:tcPr>
            <w:tcW w:w="349" w:type="pct"/>
            <w:shd w:val="clear" w:color="auto" w:fill="E9EFF6"/>
            <w:noWrap/>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质量指标</w:t>
            </w:r>
          </w:p>
        </w:tc>
        <w:tc>
          <w:tcPr>
            <w:tcW w:w="49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资金保障率</w:t>
            </w:r>
          </w:p>
        </w:tc>
        <w:tc>
          <w:tcPr>
            <w:tcW w:w="54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资金保障率</w:t>
            </w:r>
          </w:p>
        </w:tc>
        <w:tc>
          <w:tcPr>
            <w:tcW w:w="249"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24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50"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743"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682" w:type="pct"/>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0.9994</w:t>
            </w:r>
          </w:p>
        </w:tc>
        <w:tc>
          <w:tcPr>
            <w:tcW w:w="449" w:type="pc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250"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7" w:type="pct"/>
            <w:vMerge w:val="continue"/>
            <w:shd w:val="clear" w:color="auto" w:fill="auto"/>
            <w:vAlign w:val="top"/>
          </w:tcPr>
          <w:p>
            <w:pPr>
              <w:jc w:val="center"/>
              <w:rPr>
                <w:rFonts w:hint="default" w:ascii="Calibri" w:hAnsi="Calibri" w:eastAsia="宋体" w:cs="Calibri"/>
                <w:i w:val="0"/>
                <w:iCs w:val="0"/>
                <w:color w:val="000000"/>
                <w:sz w:val="22"/>
                <w:szCs w:val="22"/>
                <w:u w:val="none"/>
              </w:rPr>
            </w:pPr>
          </w:p>
        </w:tc>
        <w:tc>
          <w:tcPr>
            <w:tcW w:w="367" w:type="pct"/>
            <w:vMerge w:val="continue"/>
            <w:shd w:val="clear" w:color="auto" w:fill="auto"/>
            <w:noWrap/>
            <w:vAlign w:val="top"/>
          </w:tcPr>
          <w:p>
            <w:pPr>
              <w:jc w:val="center"/>
              <w:rPr>
                <w:rFonts w:hint="default" w:ascii="Arial" w:hAnsi="Arial" w:eastAsia="宋体" w:cs="Arial"/>
                <w:b/>
                <w:bCs/>
                <w:i w:val="0"/>
                <w:iCs w:val="0"/>
                <w:color w:val="000000"/>
                <w:sz w:val="22"/>
                <w:szCs w:val="22"/>
                <w:u w:val="none"/>
              </w:rPr>
            </w:pPr>
          </w:p>
        </w:tc>
        <w:tc>
          <w:tcPr>
            <w:tcW w:w="34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49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及时保障资金使用</w:t>
            </w:r>
          </w:p>
        </w:tc>
        <w:tc>
          <w:tcPr>
            <w:tcW w:w="54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及时保障资金使用情况</w:t>
            </w:r>
          </w:p>
        </w:tc>
        <w:tc>
          <w:tcPr>
            <w:tcW w:w="249"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24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150" w:type="pct"/>
            <w:shd w:val="clear" w:color="auto" w:fill="E9EFF6"/>
            <w:noWrap/>
            <w:vAlign w:val="top"/>
          </w:tcPr>
          <w:p>
            <w:pPr>
              <w:rPr>
                <w:rFonts w:hint="default" w:ascii="Calibri" w:hAnsi="Calibri" w:eastAsia="宋体" w:cs="Calibri"/>
                <w:i w:val="0"/>
                <w:iCs w:val="0"/>
                <w:color w:val="000000"/>
                <w:sz w:val="22"/>
                <w:szCs w:val="22"/>
                <w:u w:val="none"/>
              </w:rPr>
            </w:pPr>
          </w:p>
        </w:tc>
        <w:tc>
          <w:tcPr>
            <w:tcW w:w="743"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及时保障</w:t>
            </w:r>
          </w:p>
        </w:tc>
        <w:tc>
          <w:tcPr>
            <w:tcW w:w="682" w:type="pct"/>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及时保障资金使用</w:t>
            </w:r>
          </w:p>
        </w:tc>
        <w:tc>
          <w:tcPr>
            <w:tcW w:w="449" w:type="pc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250"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7" w:type="pct"/>
            <w:vMerge w:val="continue"/>
            <w:shd w:val="clear" w:color="auto" w:fill="auto"/>
            <w:vAlign w:val="top"/>
          </w:tcPr>
          <w:p>
            <w:pPr>
              <w:jc w:val="center"/>
              <w:rPr>
                <w:rFonts w:hint="default" w:ascii="Calibri" w:hAnsi="Calibri" w:eastAsia="宋体" w:cs="Calibri"/>
                <w:i w:val="0"/>
                <w:iCs w:val="0"/>
                <w:color w:val="000000"/>
                <w:sz w:val="22"/>
                <w:szCs w:val="22"/>
                <w:u w:val="none"/>
              </w:rPr>
            </w:pPr>
          </w:p>
        </w:tc>
        <w:tc>
          <w:tcPr>
            <w:tcW w:w="367" w:type="pct"/>
            <w:vMerge w:val="continue"/>
            <w:shd w:val="clear" w:color="auto" w:fill="auto"/>
            <w:noWrap/>
            <w:vAlign w:val="top"/>
          </w:tcPr>
          <w:p>
            <w:pPr>
              <w:jc w:val="center"/>
              <w:rPr>
                <w:rFonts w:hint="default" w:ascii="Arial" w:hAnsi="Arial" w:eastAsia="宋体" w:cs="Arial"/>
                <w:b/>
                <w:bCs/>
                <w:i w:val="0"/>
                <w:iCs w:val="0"/>
                <w:color w:val="000000"/>
                <w:sz w:val="22"/>
                <w:szCs w:val="22"/>
                <w:u w:val="none"/>
              </w:rPr>
            </w:pPr>
          </w:p>
        </w:tc>
        <w:tc>
          <w:tcPr>
            <w:tcW w:w="34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49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各项支出标准</w:t>
            </w:r>
          </w:p>
        </w:tc>
        <w:tc>
          <w:tcPr>
            <w:tcW w:w="54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各项支出标准情况</w:t>
            </w:r>
          </w:p>
        </w:tc>
        <w:tc>
          <w:tcPr>
            <w:tcW w:w="249"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24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150" w:type="pct"/>
            <w:shd w:val="clear" w:color="auto" w:fill="E9EFF6"/>
            <w:noWrap/>
            <w:vAlign w:val="top"/>
          </w:tcPr>
          <w:p>
            <w:pPr>
              <w:rPr>
                <w:rFonts w:hint="default" w:ascii="Calibri" w:hAnsi="Calibri" w:eastAsia="宋体" w:cs="Calibri"/>
                <w:i w:val="0"/>
                <w:iCs w:val="0"/>
                <w:color w:val="000000"/>
                <w:sz w:val="22"/>
                <w:szCs w:val="22"/>
                <w:u w:val="none"/>
              </w:rPr>
            </w:pPr>
          </w:p>
        </w:tc>
        <w:tc>
          <w:tcPr>
            <w:tcW w:w="743"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符合规定或行业标准</w:t>
            </w:r>
          </w:p>
        </w:tc>
        <w:tc>
          <w:tcPr>
            <w:tcW w:w="682" w:type="pct"/>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各项资金支付符合规定</w:t>
            </w:r>
          </w:p>
        </w:tc>
        <w:tc>
          <w:tcPr>
            <w:tcW w:w="449" w:type="pc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250"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7" w:type="pct"/>
            <w:vMerge w:val="continue"/>
            <w:shd w:val="clear" w:color="auto" w:fill="auto"/>
            <w:vAlign w:val="top"/>
          </w:tcPr>
          <w:p>
            <w:pPr>
              <w:jc w:val="center"/>
              <w:rPr>
                <w:rFonts w:hint="default" w:ascii="Calibri" w:hAnsi="Calibri" w:eastAsia="宋体" w:cs="Calibri"/>
                <w:i w:val="0"/>
                <w:iCs w:val="0"/>
                <w:color w:val="000000"/>
                <w:sz w:val="22"/>
                <w:szCs w:val="22"/>
                <w:u w:val="none"/>
              </w:rPr>
            </w:pPr>
          </w:p>
        </w:tc>
        <w:tc>
          <w:tcPr>
            <w:tcW w:w="367" w:type="pct"/>
            <w:shd w:val="clear" w:color="auto" w:fill="auto"/>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34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49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改善基本办学条件</w:t>
            </w:r>
          </w:p>
        </w:tc>
        <w:tc>
          <w:tcPr>
            <w:tcW w:w="54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改善基本办学条件</w:t>
            </w:r>
          </w:p>
        </w:tc>
        <w:tc>
          <w:tcPr>
            <w:tcW w:w="249"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30.00</w:t>
            </w:r>
          </w:p>
        </w:tc>
        <w:tc>
          <w:tcPr>
            <w:tcW w:w="24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150" w:type="pct"/>
            <w:shd w:val="clear" w:color="auto" w:fill="E9EFF6"/>
            <w:noWrap/>
            <w:vAlign w:val="top"/>
          </w:tcPr>
          <w:p>
            <w:pPr>
              <w:rPr>
                <w:rFonts w:hint="default" w:ascii="Calibri" w:hAnsi="Calibri" w:eastAsia="宋体" w:cs="Calibri"/>
                <w:i w:val="0"/>
                <w:iCs w:val="0"/>
                <w:color w:val="000000"/>
                <w:sz w:val="22"/>
                <w:szCs w:val="22"/>
                <w:u w:val="none"/>
              </w:rPr>
            </w:pPr>
          </w:p>
        </w:tc>
        <w:tc>
          <w:tcPr>
            <w:tcW w:w="743"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办学条件得到进一步改善</w:t>
            </w:r>
          </w:p>
        </w:tc>
        <w:tc>
          <w:tcPr>
            <w:tcW w:w="682" w:type="pct"/>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改善基本办学条件</w:t>
            </w:r>
          </w:p>
        </w:tc>
        <w:tc>
          <w:tcPr>
            <w:tcW w:w="449" w:type="pc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250"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7" w:type="pct"/>
            <w:vMerge w:val="continue"/>
            <w:shd w:val="clear" w:color="auto" w:fill="auto"/>
            <w:vAlign w:val="top"/>
          </w:tcPr>
          <w:p>
            <w:pPr>
              <w:jc w:val="center"/>
              <w:rPr>
                <w:rFonts w:hint="default" w:ascii="Calibri" w:hAnsi="Calibri" w:eastAsia="宋体" w:cs="Calibri"/>
                <w:i w:val="0"/>
                <w:iCs w:val="0"/>
                <w:color w:val="000000"/>
                <w:sz w:val="22"/>
                <w:szCs w:val="22"/>
                <w:u w:val="none"/>
              </w:rPr>
            </w:pPr>
          </w:p>
        </w:tc>
        <w:tc>
          <w:tcPr>
            <w:tcW w:w="367" w:type="pct"/>
            <w:shd w:val="clear" w:color="auto" w:fill="auto"/>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349" w:type="pct"/>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499" w:type="pct"/>
            <w:shd w:val="clear" w:color="auto" w:fill="E9EFF6"/>
            <w:noWrap/>
            <w:vAlign w:val="top"/>
          </w:tcPr>
          <w:p>
            <w:pPr>
              <w:rPr>
                <w:rFonts w:hint="default" w:ascii="Calibri" w:hAnsi="Calibri" w:eastAsia="宋体" w:cs="Calibri"/>
                <w:i w:val="0"/>
                <w:iCs w:val="0"/>
                <w:color w:val="000000"/>
                <w:sz w:val="22"/>
                <w:szCs w:val="22"/>
                <w:u w:val="none"/>
              </w:rPr>
            </w:pPr>
          </w:p>
        </w:tc>
        <w:tc>
          <w:tcPr>
            <w:tcW w:w="549" w:type="pct"/>
            <w:shd w:val="clear" w:color="auto" w:fill="E9EFF6"/>
            <w:noWrap/>
            <w:vAlign w:val="top"/>
          </w:tcPr>
          <w:p>
            <w:pPr>
              <w:rPr>
                <w:rFonts w:hint="default" w:ascii="Calibri" w:hAnsi="Calibri" w:eastAsia="宋体" w:cs="Calibri"/>
                <w:i w:val="0"/>
                <w:iCs w:val="0"/>
                <w:color w:val="000000"/>
                <w:sz w:val="22"/>
                <w:szCs w:val="22"/>
                <w:u w:val="none"/>
              </w:rPr>
            </w:pPr>
          </w:p>
        </w:tc>
        <w:tc>
          <w:tcPr>
            <w:tcW w:w="249" w:type="pct"/>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249" w:type="pct"/>
            <w:shd w:val="clear" w:color="auto" w:fill="E9EFF6"/>
            <w:noWrap/>
            <w:vAlign w:val="top"/>
          </w:tcPr>
          <w:p>
            <w:pPr>
              <w:rPr>
                <w:rFonts w:hint="default" w:ascii="Calibri" w:hAnsi="Calibri" w:eastAsia="宋体" w:cs="Calibri"/>
                <w:i w:val="0"/>
                <w:iCs w:val="0"/>
                <w:color w:val="000000"/>
                <w:sz w:val="22"/>
                <w:szCs w:val="22"/>
                <w:u w:val="none"/>
              </w:rPr>
            </w:pPr>
          </w:p>
        </w:tc>
        <w:tc>
          <w:tcPr>
            <w:tcW w:w="150" w:type="pct"/>
            <w:shd w:val="clear" w:color="auto" w:fill="E9EFF6"/>
            <w:noWrap/>
            <w:vAlign w:val="top"/>
          </w:tcPr>
          <w:p>
            <w:pPr>
              <w:rPr>
                <w:rFonts w:hint="default" w:ascii="Calibri" w:hAnsi="Calibri" w:eastAsia="宋体" w:cs="Calibri"/>
                <w:i w:val="0"/>
                <w:iCs w:val="0"/>
                <w:color w:val="000000"/>
                <w:sz w:val="22"/>
                <w:szCs w:val="22"/>
                <w:u w:val="none"/>
              </w:rPr>
            </w:pPr>
          </w:p>
        </w:tc>
        <w:tc>
          <w:tcPr>
            <w:tcW w:w="743" w:type="pct"/>
            <w:shd w:val="clear" w:color="auto" w:fill="E9EFF6"/>
            <w:noWrap/>
            <w:vAlign w:val="top"/>
          </w:tcPr>
          <w:p>
            <w:pPr>
              <w:rPr>
                <w:rFonts w:hint="default" w:ascii="Calibri" w:hAnsi="Calibri" w:eastAsia="宋体" w:cs="Calibri"/>
                <w:i w:val="0"/>
                <w:iCs w:val="0"/>
                <w:color w:val="000000"/>
                <w:sz w:val="22"/>
                <w:szCs w:val="22"/>
                <w:u w:val="none"/>
              </w:rPr>
            </w:pPr>
          </w:p>
        </w:tc>
        <w:tc>
          <w:tcPr>
            <w:tcW w:w="682" w:type="pct"/>
            <w:shd w:val="clear" w:color="auto" w:fill="E9EFF6"/>
            <w:noWrap/>
            <w:vAlign w:val="top"/>
          </w:tcPr>
          <w:p>
            <w:pPr>
              <w:rPr>
                <w:rFonts w:hint="default" w:ascii="Calibri" w:hAnsi="Calibri" w:eastAsia="宋体" w:cs="Calibri"/>
                <w:i w:val="0"/>
                <w:iCs w:val="0"/>
                <w:color w:val="000000"/>
                <w:sz w:val="22"/>
                <w:szCs w:val="22"/>
                <w:u w:val="none"/>
              </w:rPr>
            </w:pPr>
          </w:p>
        </w:tc>
        <w:tc>
          <w:tcPr>
            <w:tcW w:w="449" w:type="pct"/>
            <w:shd w:val="clear" w:color="auto" w:fill="E9EFF6"/>
            <w:noWrap/>
            <w:vAlign w:val="top"/>
          </w:tcPr>
          <w:p>
            <w:pPr>
              <w:rPr>
                <w:rFonts w:hint="default" w:ascii="Calibri" w:hAnsi="Calibri" w:eastAsia="宋体" w:cs="Calibri"/>
                <w:i w:val="0"/>
                <w:iCs w:val="0"/>
                <w:color w:val="000000"/>
                <w:sz w:val="22"/>
                <w:szCs w:val="22"/>
                <w:u w:val="none"/>
              </w:rPr>
            </w:pPr>
          </w:p>
        </w:tc>
        <w:tc>
          <w:tcPr>
            <w:tcW w:w="250" w:type="pct"/>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7" w:type="pct"/>
            <w:vMerge w:val="continue"/>
            <w:shd w:val="clear" w:color="auto" w:fill="auto"/>
            <w:vAlign w:val="top"/>
          </w:tcPr>
          <w:p>
            <w:pPr>
              <w:jc w:val="center"/>
              <w:rPr>
                <w:rFonts w:hint="default" w:ascii="Calibri" w:hAnsi="Calibri" w:eastAsia="宋体" w:cs="Calibri"/>
                <w:i w:val="0"/>
                <w:iCs w:val="0"/>
                <w:color w:val="000000"/>
                <w:sz w:val="22"/>
                <w:szCs w:val="22"/>
                <w:u w:val="none"/>
              </w:rPr>
            </w:pPr>
          </w:p>
        </w:tc>
        <w:tc>
          <w:tcPr>
            <w:tcW w:w="367" w:type="pct"/>
            <w:shd w:val="clear" w:color="auto" w:fill="auto"/>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4175" w:type="pct"/>
            <w:gridSpan w:val="10"/>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7" w:type="pct"/>
            <w:vMerge w:val="restart"/>
            <w:shd w:val="clear" w:color="auto" w:fill="auto"/>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4542" w:type="pct"/>
            <w:gridSpan w:val="11"/>
            <w:vMerge w:val="restart"/>
            <w:shd w:val="clear" w:color="auto" w:fill="auto"/>
            <w:noWrap/>
            <w:vAlign w:val="top"/>
          </w:tcPr>
          <w:p>
            <w:pPr>
              <w:jc w:val="left"/>
              <w:rPr>
                <w:rFonts w:hint="default" w:ascii="Calibri" w:hAnsi="Calibri" w:eastAsia="宋体" w:cs="Calibri"/>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7" w:type="pct"/>
            <w:vMerge w:val="continue"/>
            <w:shd w:val="clear" w:color="auto" w:fill="auto"/>
            <w:vAlign w:val="top"/>
          </w:tcPr>
          <w:p>
            <w:pPr>
              <w:jc w:val="center"/>
              <w:rPr>
                <w:rFonts w:hint="default" w:ascii="Calibri" w:hAnsi="Calibri" w:eastAsia="宋体" w:cs="Calibri"/>
                <w:i w:val="0"/>
                <w:iCs w:val="0"/>
                <w:color w:val="000000"/>
                <w:sz w:val="22"/>
                <w:szCs w:val="22"/>
                <w:u w:val="none"/>
              </w:rPr>
            </w:pPr>
          </w:p>
        </w:tc>
        <w:tc>
          <w:tcPr>
            <w:tcW w:w="4542" w:type="pct"/>
            <w:gridSpan w:val="11"/>
            <w:vMerge w:val="continue"/>
            <w:shd w:val="clear" w:color="auto" w:fill="auto"/>
            <w:noWrap/>
            <w:vAlign w:val="top"/>
          </w:tcPr>
          <w:p>
            <w:pPr>
              <w:jc w:val="left"/>
              <w:rPr>
                <w:rFonts w:hint="default" w:ascii="Calibri" w:hAnsi="Calibri" w:eastAsia="宋体" w:cs="Calibri"/>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7" w:type="pc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1217" w:type="pct"/>
            <w:gridSpan w:val="3"/>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路会广</w:t>
            </w:r>
          </w:p>
        </w:tc>
        <w:tc>
          <w:tcPr>
            <w:tcW w:w="549" w:type="pct"/>
            <w:shd w:val="clear" w:color="auto" w:fill="auto"/>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2775" w:type="pct"/>
            <w:gridSpan w:val="7"/>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13933106972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0" w:hRule="atLeast"/>
        </w:trPr>
        <w:tc>
          <w:tcPr>
            <w:tcW w:w="457" w:type="pct"/>
            <w:vMerge w:val="restart"/>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说明:</w:t>
            </w:r>
          </w:p>
        </w:tc>
        <w:tc>
          <w:tcPr>
            <w:tcW w:w="4542" w:type="pct"/>
            <w:gridSpan w:val="11"/>
            <w:vMerge w:val="restart"/>
            <w:shd w:val="clear" w:color="auto" w:fill="auto"/>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0" w:hRule="atLeast"/>
        </w:trPr>
        <w:tc>
          <w:tcPr>
            <w:tcW w:w="457"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4542" w:type="pct"/>
            <w:gridSpan w:val="11"/>
            <w:vMerge w:val="continue"/>
            <w:shd w:val="clear" w:color="auto" w:fill="auto"/>
            <w:vAlign w:val="top"/>
          </w:tcPr>
          <w:p>
            <w:pPr>
              <w:rPr>
                <w:rFonts w:hint="default" w:ascii="Calibri" w:hAnsi="Calibri" w:eastAsia="宋体" w:cs="Calibri"/>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0" w:hRule="atLeast"/>
        </w:trPr>
        <w:tc>
          <w:tcPr>
            <w:tcW w:w="457"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4542" w:type="pct"/>
            <w:gridSpan w:val="11"/>
            <w:vMerge w:val="continue"/>
            <w:shd w:val="clear" w:color="auto" w:fill="auto"/>
            <w:vAlign w:val="top"/>
          </w:tcPr>
          <w:p>
            <w:pPr>
              <w:rPr>
                <w:rFonts w:hint="default" w:ascii="Calibri" w:hAnsi="Calibri" w:eastAsia="宋体" w:cs="Calibri"/>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0" w:hRule="atLeast"/>
        </w:trPr>
        <w:tc>
          <w:tcPr>
            <w:tcW w:w="457" w:type="pct"/>
            <w:vMerge w:val="continue"/>
            <w:shd w:val="clear" w:color="auto" w:fill="auto"/>
            <w:noWrap/>
            <w:vAlign w:val="top"/>
          </w:tcPr>
          <w:p>
            <w:pPr>
              <w:jc w:val="center"/>
              <w:rPr>
                <w:rFonts w:hint="default" w:ascii="Calibri" w:hAnsi="Calibri" w:eastAsia="宋体" w:cs="Calibri"/>
                <w:i w:val="0"/>
                <w:iCs w:val="0"/>
                <w:color w:val="000000"/>
                <w:sz w:val="22"/>
                <w:szCs w:val="22"/>
                <w:u w:val="none"/>
              </w:rPr>
            </w:pPr>
          </w:p>
        </w:tc>
        <w:tc>
          <w:tcPr>
            <w:tcW w:w="4542" w:type="pct"/>
            <w:gridSpan w:val="11"/>
            <w:vMerge w:val="continue"/>
            <w:shd w:val="clear" w:color="auto" w:fill="auto"/>
            <w:vAlign w:val="top"/>
          </w:tcPr>
          <w:p>
            <w:pPr>
              <w:rPr>
                <w:rFonts w:hint="default" w:ascii="Calibri" w:hAnsi="Calibri" w:eastAsia="宋体" w:cs="Calibri"/>
                <w:i w:val="0"/>
                <w:iCs w:val="0"/>
                <w:color w:val="000000"/>
                <w:sz w:val="22"/>
                <w:szCs w:val="22"/>
                <w:u w:val="none"/>
              </w:rPr>
            </w:pP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pPr>
        <w:numPr>
          <w:ilvl w:val="0"/>
          <w:numId w:val="3"/>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部门评价项目绩效评价结果（如有）</w:t>
      </w:r>
    </w:p>
    <w:p>
      <w:pPr>
        <w:numPr>
          <w:ilvl w:val="0"/>
          <w:numId w:val="0"/>
        </w:numPr>
        <w:adjustRightInd w:val="0"/>
        <w:snapToGrid w:val="0"/>
        <w:spacing w:line="580" w:lineRule="exact"/>
        <w:ind w:leftChars="300"/>
        <w:rPr>
          <w:rFonts w:hint="default" w:ascii="Times New Roman" w:hAnsi="Times New Roman" w:eastAsia="仿宋_GB2312" w:cs="Times New Roman"/>
          <w:b/>
          <w:bCs/>
          <w:sz w:val="32"/>
          <w:szCs w:val="32"/>
        </w:rPr>
      </w:pPr>
      <w:r>
        <w:rPr>
          <w:rFonts w:hint="default" w:ascii="Arial" w:hAnsi="Arial" w:eastAsia="Arial" w:cs="Arial"/>
          <w:i w:val="0"/>
          <w:iCs w:val="0"/>
          <w:caps w:val="0"/>
          <w:color w:val="333333"/>
          <w:spacing w:val="0"/>
          <w:sz w:val="19"/>
          <w:szCs w:val="19"/>
          <w:highlight w:val="none"/>
          <w:shd w:val="clear" w:fill="FFFFFF"/>
        </w:rPr>
        <w:t> </w:t>
      </w:r>
      <w:r>
        <w:rPr>
          <w:rFonts w:ascii="仿宋" w:hAnsi="仿宋" w:eastAsia="仿宋" w:cs="仿宋"/>
          <w:color w:val="000000"/>
          <w:kern w:val="0"/>
          <w:sz w:val="32"/>
          <w:szCs w:val="32"/>
          <w:lang w:val="en-US" w:eastAsia="zh-CN" w:bidi="ar"/>
        </w:rPr>
        <w:t>本</w:t>
      </w:r>
      <w:r>
        <w:rPr>
          <w:rFonts w:hint="eastAsia" w:ascii="仿宋_GB2312" w:hAnsi="仿宋_GB2312" w:eastAsia="仿宋_GB2312" w:cs="仿宋_GB2312"/>
          <w:i w:val="0"/>
          <w:iCs w:val="0"/>
          <w:caps w:val="0"/>
          <w:color w:val="333333"/>
          <w:spacing w:val="0"/>
          <w:kern w:val="0"/>
          <w:sz w:val="33"/>
          <w:szCs w:val="33"/>
          <w:highlight w:val="none"/>
          <w:shd w:val="clear" w:fill="FFFFFF"/>
          <w:lang w:val="en-US" w:eastAsia="zh-CN" w:bidi="ar"/>
        </w:rPr>
        <w:t>项目无部门绩效评价结果。</w:t>
      </w:r>
    </w:p>
    <w:p>
      <w:pPr>
        <w:keepNext w:val="0"/>
        <w:keepLines w:val="0"/>
        <w:widowControl/>
        <w:numPr>
          <w:ilvl w:val="0"/>
          <w:numId w:val="4"/>
        </w:numPr>
        <w:suppressLineNumbers w:val="0"/>
        <w:jc w:val="lef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 xml:space="preserve"> 本单位</w:t>
      </w:r>
      <w:r>
        <w:rPr>
          <w:rFonts w:hint="default" w:ascii="Times New Roman" w:hAnsi="Times New Roman" w:eastAsia="仿宋_GB2312" w:cs="Times New Roman"/>
          <w:sz w:val="32"/>
          <w:szCs w:val="32"/>
          <w:lang w:val="en-US" w:eastAsia="zh-CN"/>
        </w:rPr>
        <w:t>202</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en-US" w:eastAsia="zh-CN"/>
        </w:rPr>
        <w:t xml:space="preserve">年度“三公”经费、 </w:t>
      </w:r>
      <w:r>
        <w:rPr>
          <w:rFonts w:hint="eastAsia" w:ascii="Times New Roman" w:hAnsi="Times New Roman" w:eastAsia="仿宋_GB2312" w:cs="Times New Roman"/>
          <w:sz w:val="32"/>
          <w:szCs w:val="32"/>
          <w:lang w:val="en-US" w:eastAsia="zh-CN"/>
        </w:rPr>
        <w:t>政府性基金预算、国有资金经营预算</w:t>
      </w:r>
      <w:r>
        <w:rPr>
          <w:rFonts w:hint="default" w:ascii="Times New Roman" w:hAnsi="Times New Roman" w:eastAsia="仿宋_GB2312" w:cs="Times New Roman"/>
          <w:sz w:val="32"/>
          <w:szCs w:val="32"/>
          <w:lang w:val="en-US" w:eastAsia="zh-CN"/>
        </w:rPr>
        <w:t>无收支收支及结转结余情况，故一般公共预算财政拨款“三公”经费支出决算表、政府性基</w:t>
      </w:r>
      <w:r>
        <w:rPr>
          <w:rFonts w:hint="eastAsia" w:ascii="Times New Roman" w:hAnsi="Times New Roman" w:eastAsia="仿宋_GB2312" w:cs="Times New Roman"/>
          <w:sz w:val="32"/>
          <w:szCs w:val="32"/>
          <w:lang w:val="en-US" w:eastAsia="zh-CN"/>
        </w:rPr>
        <w:t>金预算财政拨款收入支出决算表、国有资金经营预算财政拨款支出决算表以空表列示</w:t>
      </w:r>
      <w:r>
        <w:rPr>
          <w:rFonts w:hint="default" w:ascii="Times New Roman" w:hAnsi="Times New Roman" w:eastAsia="仿宋_GB2312" w:cs="Times New Roman"/>
          <w:sz w:val="32"/>
          <w:szCs w:val="32"/>
          <w:lang w:val="en-US" w:eastAsia="zh-CN"/>
        </w:rPr>
        <w:t>。</w:t>
      </w:r>
    </w:p>
    <w:p>
      <w:pPr>
        <w:adjustRightInd w:val="0"/>
        <w:snapToGrid w:val="0"/>
        <w:spacing w:line="58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 由于决算公开表格中金额数值应当保留两位小数，公开数据为四舍五入计算结果，个别数据合计项与分项之和存在小数点后差额，特此说明。</w:t>
      </w:r>
    </w:p>
    <w:p>
      <w:pPr>
        <w:adjustRightInd w:val="0"/>
        <w:snapToGrid w:val="0"/>
        <w:spacing w:line="580" w:lineRule="exact"/>
        <w:ind w:firstLine="643" w:firstLineChars="200"/>
        <w:rPr>
          <w:rFonts w:hint="default" w:ascii="Times New Roman" w:hAnsi="Times New Roman" w:eastAsia="楷体_GB2312" w:cs="Times New Roman"/>
          <w:b/>
          <w:bCs/>
          <w:sz w:val="32"/>
          <w:szCs w:val="32"/>
        </w:rPr>
      </w:pP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rPr>
          <w:rFonts w:hint="default" w:ascii="Times New Roman" w:hAnsi="Times New Roman" w:eastAsia="仿宋_GB2312" w:cs="Times New Roman"/>
          <w:sz w:val="32"/>
          <w:szCs w:val="32"/>
        </w:rPr>
      </w:pP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D0332BE-1072-414D-98E2-EC3F1D3DFB48}"/>
  </w:font>
  <w:font w:name="黑体">
    <w:panose1 w:val="02010609060101010101"/>
    <w:charset w:val="86"/>
    <w:family w:val="auto"/>
    <w:pitch w:val="default"/>
    <w:sig w:usb0="800002BF" w:usb1="38CF7CFA" w:usb2="00000016" w:usb3="00000000" w:csb0="00040001" w:csb1="00000000"/>
    <w:embedRegular r:id="rId2" w:fontKey="{7D304D6D-A74D-4CC9-A20B-CD0EAAF7806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14FE527F-D5C9-42BB-B8DD-E8DA2A6A0015}"/>
  </w:font>
  <w:font w:name="仿宋">
    <w:panose1 w:val="02010609060101010101"/>
    <w:charset w:val="86"/>
    <w:family w:val="modern"/>
    <w:pitch w:val="default"/>
    <w:sig w:usb0="800002BF" w:usb1="38CF7CFA" w:usb2="00000016" w:usb3="00000000" w:csb0="00040001" w:csb1="00000000"/>
    <w:embedRegular r:id="rId4" w:fontKey="{437C0A5F-633D-4B35-9507-425332521E50}"/>
  </w:font>
  <w:font w:name="Calibri Light">
    <w:panose1 w:val="020F0302020204030204"/>
    <w:charset w:val="00"/>
    <w:family w:val="auto"/>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仿宋_GBK">
    <w:panose1 w:val="02000000000000000000"/>
    <w:charset w:val="86"/>
    <w:family w:val="auto"/>
    <w:pitch w:val="default"/>
    <w:sig w:usb0="A00002BF" w:usb1="38CF7CFA" w:usb2="00082016" w:usb3="00000000" w:csb0="00040001" w:csb1="00000000"/>
  </w:font>
  <w:font w:name="方正魏碑简体">
    <w:panose1 w:val="02000000000000000000"/>
    <w:charset w:val="86"/>
    <w:family w:val="auto"/>
    <w:pitch w:val="default"/>
    <w:sig w:usb0="A00002BF" w:usb1="184F6CFA" w:usb2="00000012" w:usb3="00000000" w:csb0="00040001" w:csb1="00000000"/>
    <w:embedRegular r:id="rId5" w:fontKey="{AB6318B5-D3DC-467F-94F1-7641CB000212}"/>
  </w:font>
  <w:font w:name="思源黑体 CN Heavy">
    <w:altName w:val="黑体"/>
    <w:panose1 w:val="00000000000000000000"/>
    <w:charset w:val="86"/>
    <w:family w:val="swiss"/>
    <w:pitch w:val="default"/>
    <w:sig w:usb0="00000000" w:usb1="00000000" w:usb2="00000016" w:usb3="00000000" w:csb0="00060107" w:csb1="00000000"/>
    <w:embedRegular r:id="rId6" w:fontKey="{19789170-FD84-4719-A3DC-CAF2098CFE3E}"/>
  </w:font>
  <w:font w:name="楷体_GB2312">
    <w:altName w:val="楷体"/>
    <w:panose1 w:val="02010609030101010101"/>
    <w:charset w:val="86"/>
    <w:family w:val="auto"/>
    <w:pitch w:val="default"/>
    <w:sig w:usb0="00000000" w:usb1="00000000" w:usb2="00000000" w:usb3="00000000" w:csb0="00040000" w:csb1="00000000"/>
    <w:embedRegular r:id="rId7" w:fontKey="{CC326187-2152-43A1-8C69-0184095ECCFB}"/>
  </w:font>
  <w:font w:name="楷体">
    <w:panose1 w:val="02010609060101010101"/>
    <w:charset w:val="86"/>
    <w:family w:val="auto"/>
    <w:pitch w:val="default"/>
    <w:sig w:usb0="800002BF" w:usb1="38CF7CFA" w:usb2="00000016" w:usb3="00000000" w:csb0="00040001" w:csb1="00000000"/>
    <w:embedRegular r:id="rId8" w:fontKey="{ACA491B6-EDDC-49DD-A7C7-20EFD85A64B0}"/>
  </w:font>
  <w:font w:name="仿宋_GB2312">
    <w:altName w:val="仿宋"/>
    <w:panose1 w:val="02010609030101010101"/>
    <w:charset w:val="86"/>
    <w:family w:val="auto"/>
    <w:pitch w:val="default"/>
    <w:sig w:usb0="00000000" w:usb1="00000000" w:usb2="00000000" w:usb3="00000000" w:csb0="00040000" w:csb1="00000000"/>
    <w:embedRegular r:id="rId9" w:fontKey="{44ABA420-BFD3-4B1C-8C29-15DD6CE9C500}"/>
  </w:font>
  <w:font w:name="ArialUnicodeMS">
    <w:altName w:val="Malgun Gothic"/>
    <w:panose1 w:val="00000000000000000000"/>
    <w:charset w:val="81"/>
    <w:family w:val="auto"/>
    <w:pitch w:val="default"/>
    <w:sig w:usb0="00000000" w:usb1="00000000" w:usb2="00000010" w:usb3="00000000" w:csb0="00080001" w:csb1="00000000"/>
    <w:embedRegular r:id="rId10" w:fontKey="{2DA83355-17CF-4BAB-BF1C-7D733F10A737}"/>
  </w:font>
  <w:font w:name="方正仿宋_GB2312">
    <w:altName w:val="仿宋"/>
    <w:panose1 w:val="02000000000000000000"/>
    <w:charset w:val="86"/>
    <w:family w:val="auto"/>
    <w:pitch w:val="default"/>
    <w:sig w:usb0="00000000" w:usb1="00000000" w:usb2="00000012" w:usb3="00000000" w:csb0="00040001" w:csb1="00000000"/>
    <w:embedRegular r:id="rId11" w:fontKey="{CE1D943E-6CD4-4B54-BF67-760137E3EDA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8392F0"/>
    <w:multiLevelType w:val="singleLevel"/>
    <w:tmpl w:val="C08392F0"/>
    <w:lvl w:ilvl="0" w:tentative="0">
      <w:start w:val="3"/>
      <w:numFmt w:val="chineseCounting"/>
      <w:suff w:val="nothing"/>
      <w:lvlText w:val="（%1）"/>
      <w:lvlJc w:val="left"/>
      <w:rPr>
        <w:rFonts w:hint="eastAsia"/>
      </w:rPr>
    </w:lvl>
  </w:abstractNum>
  <w:abstractNum w:abstractNumId="1">
    <w:nsid w:val="F31EB42C"/>
    <w:multiLevelType w:val="singleLevel"/>
    <w:tmpl w:val="F31EB42C"/>
    <w:lvl w:ilvl="0" w:tentative="0">
      <w:start w:val="4"/>
      <w:numFmt w:val="chineseCounting"/>
      <w:suff w:val="nothing"/>
      <w:lvlText w:val="（%1）"/>
      <w:lvlJc w:val="left"/>
      <w:rPr>
        <w:rFonts w:hint="eastAsia"/>
      </w:rPr>
    </w:lvl>
  </w:abstractNum>
  <w:abstractNum w:abstractNumId="2">
    <w:nsid w:val="3A947A67"/>
    <w:multiLevelType w:val="singleLevel"/>
    <w:tmpl w:val="3A947A67"/>
    <w:lvl w:ilvl="0" w:tentative="0">
      <w:start w:val="10"/>
      <w:numFmt w:val="chineseCounting"/>
      <w:suff w:val="nothing"/>
      <w:lvlText w:val="%1、"/>
      <w:lvlJc w:val="left"/>
      <w:rPr>
        <w:rFonts w:hint="eastAsia"/>
      </w:rPr>
    </w:lvl>
  </w:abstractNum>
  <w:abstractNum w:abstractNumId="3">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IsImhkaWQiOiI5YTIwYTJiYTk5NjYyYTEzNzNhNjhmZWFlMTE3Zjk3MSIsInVzZXJDb3VudCI6Mzd9"/>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5A50C5"/>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D21FF2"/>
    <w:rsid w:val="2A611B0F"/>
    <w:rsid w:val="2AC1762B"/>
    <w:rsid w:val="2AE845D0"/>
    <w:rsid w:val="2B2D09E4"/>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8015FF5"/>
    <w:rsid w:val="483820D2"/>
    <w:rsid w:val="48692CD0"/>
    <w:rsid w:val="48AE3D01"/>
    <w:rsid w:val="49067B2F"/>
    <w:rsid w:val="49677E31"/>
    <w:rsid w:val="496B6DBD"/>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971DAE"/>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5796F"/>
    <w:rsid w:val="5D242A11"/>
    <w:rsid w:val="5D9217C2"/>
    <w:rsid w:val="5DAD06BF"/>
    <w:rsid w:val="5DE23CB3"/>
    <w:rsid w:val="5DE97EEC"/>
    <w:rsid w:val="5DFA5EB0"/>
    <w:rsid w:val="5E000E4D"/>
    <w:rsid w:val="5E0B583E"/>
    <w:rsid w:val="5E201A7B"/>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A454A3"/>
    <w:rsid w:val="6BB93285"/>
    <w:rsid w:val="6C0C698C"/>
    <w:rsid w:val="6C222401"/>
    <w:rsid w:val="6C56267F"/>
    <w:rsid w:val="6C826EF9"/>
    <w:rsid w:val="6CAE4C93"/>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540DF7"/>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paragraph" w:customStyle="1" w:styleId="25">
    <w:name w:val="插入文本样式-插入单位职责文件"/>
    <w:basedOn w:val="1"/>
    <w:qFormat/>
    <w:uiPriority w:val="0"/>
    <w:pPr>
      <w:spacing w:line="500" w:lineRule="exact"/>
      <w:ind w:firstLine="560"/>
    </w:pPr>
    <w:rPr>
      <w:rFonts w:eastAsia="方正仿宋_GBK"/>
      <w:sz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chart" Target="charts/chart6.xml"/><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6.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2"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2"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24037;&#20316;&#31807;2"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24037;&#20316;&#31807;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472222222222"/>
          <c:y val="0.00694444444444444"/>
          <c:w val="0.831583333333333"/>
          <c:h val="0.83712962962963"/>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a:outerShdw blurRad="50800" dist="50800" dir="5400000" algn="ctr" rotWithShape="0">
                  <a:schemeClr val="accent2">
                    <a:alpha val="100000"/>
                  </a:schemeClr>
                </a:outerShdw>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[工作簿1]Sheet1!$D$4:$E$4</c:f>
              <c:strCache>
                <c:ptCount val="2"/>
                <c:pt idx="0">
                  <c:v>2023年度</c:v>
                </c:pt>
                <c:pt idx="1">
                  <c:v>2022年度</c:v>
                </c:pt>
              </c:strCache>
            </c:strRef>
          </c:cat>
          <c:val>
            <c:numRef>
              <c:f>[工作簿1]Sheet1!$D$5:$E$5</c:f>
              <c:numCache>
                <c:formatCode>#,##0.00</c:formatCode>
                <c:ptCount val="2"/>
                <c:pt idx="0">
                  <c:v>17005.65</c:v>
                </c:pt>
                <c:pt idx="1" c:formatCode="General">
                  <c:v>17253.18</c:v>
                </c:pt>
              </c:numCache>
            </c:numRef>
          </c:val>
        </c:ser>
        <c:ser>
          <c:idx val="1"/>
          <c:order val="1"/>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[工作簿1]Sheet1!$D$4:$E$4</c:f>
              <c:strCache>
                <c:ptCount val="2"/>
                <c:pt idx="0">
                  <c:v>2023年度</c:v>
                </c:pt>
                <c:pt idx="1">
                  <c:v>2022年度</c:v>
                </c:pt>
              </c:strCache>
            </c:strRef>
          </c:cat>
          <c:val>
            <c:numRef>
              <c:f>[工作簿1]Sheet1!$D$6:$E$6</c:f>
              <c:numCache>
                <c:formatCode>General</c:formatCode>
                <c:ptCount val="2"/>
              </c:numCache>
            </c:numRef>
          </c:val>
        </c:ser>
        <c:dLbls>
          <c:showLegendKey val="0"/>
          <c:showVal val="1"/>
          <c:showCatName val="0"/>
          <c:showSerName val="0"/>
          <c:showPercent val="0"/>
          <c:showBubbleSize val="0"/>
        </c:dLbls>
        <c:gapWidth val="219"/>
        <c:overlap val="-27"/>
        <c:axId val="541613067"/>
        <c:axId val="249615626"/>
      </c:barChart>
      <c:catAx>
        <c:axId val="54161306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9615626"/>
        <c:crosses val="autoZero"/>
        <c:auto val="1"/>
        <c:lblAlgn val="ctr"/>
        <c:lblOffset val="100"/>
        <c:noMultiLvlLbl val="0"/>
      </c:catAx>
      <c:valAx>
        <c:axId val="24961562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16130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5">
                  <a:lumMod val="40000"/>
                  <a:lumOff val="60000"/>
                </a:schemeClr>
              </a:solidFill>
              <a:ln w="9525" cap="flat" cmpd="sng" algn="ctr">
                <a:solidFill>
                  <a:schemeClr val="accent1">
                    <a:shade val="95000"/>
                  </a:schemeClr>
                </a:solidFill>
                <a:round/>
              </a:ln>
              <a:effectLst/>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bubble3D val="0"/>
            <c:spPr>
              <a:solidFill>
                <a:schemeClr val="accent4"/>
              </a:solidFill>
              <a:ln w="9525" cap="flat" cmpd="sng" algn="ctr">
                <a:solidFill>
                  <a:schemeClr val="accent3">
                    <a:shade val="95000"/>
                  </a:schemeClr>
                </a:solidFill>
                <a:round/>
              </a:ln>
              <a:effectLst/>
            </c:spPr>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dPt>
          <c:dPt>
            <c:idx val="5"/>
            <c:bubble3D val="0"/>
            <c:spPr>
              <a:solidFill>
                <a:schemeClr val="accent6"/>
              </a:solidFill>
              <a:ln w="9525" cap="flat" cmpd="sng" algn="ctr">
                <a:solidFill>
                  <a:schemeClr val="accent6">
                    <a:shade val="95000"/>
                  </a:schemeClr>
                </a:solidFill>
                <a:round/>
              </a:ln>
              <a:effectLst/>
            </c:spPr>
          </c:dPt>
          <c:dLbls>
            <c:dLbl>
              <c:idx val="5"/>
              <c:layout>
                <c:manualLayout>
                  <c:x val="0.0805555555555556"/>
                  <c:y val="-0.011574074074074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[工作簿2]Sheet1!$D$22:$D$27</c:f>
              <c:strCache>
                <c:ptCount val="6"/>
                <c:pt idx="0">
                  <c:v>财政拨款收入</c:v>
                </c:pt>
                <c:pt idx="1">
                  <c:v>上级补助收入</c:v>
                </c:pt>
                <c:pt idx="2">
                  <c:v>事业收入</c:v>
                </c:pt>
                <c:pt idx="3">
                  <c:v>经营收入</c:v>
                </c:pt>
                <c:pt idx="4">
                  <c:v>附属单位上缴收入</c:v>
                </c:pt>
                <c:pt idx="5">
                  <c:v>其他收入</c:v>
                </c:pt>
              </c:strCache>
            </c:strRef>
          </c:cat>
          <c:val>
            <c:numRef>
              <c:f>[工作簿2]Sheet1!$E$22:$E$27</c:f>
              <c:numCache>
                <c:formatCode>#,##0.00</c:formatCode>
                <c:ptCount val="6"/>
                <c:pt idx="0">
                  <c:v>12271.83</c:v>
                </c:pt>
                <c:pt idx="1">
                  <c:v>0</c:v>
                </c:pt>
                <c:pt idx="2">
                  <c:v>4691.4</c:v>
                </c:pt>
                <c:pt idx="4">
                  <c:v>0</c:v>
                </c:pt>
                <c:pt idx="5">
                  <c:v>8.03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44166666666667"/>
          <c:y val="0.831481481481481"/>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[工作簿2]Sheet1!$D$40:$H$40</c:f>
              <c:strCache>
                <c:ptCount val="5"/>
                <c:pt idx="0">
                  <c:v>基本支出</c:v>
                </c:pt>
                <c:pt idx="1">
                  <c:v>项目支出</c:v>
                </c:pt>
                <c:pt idx="2">
                  <c:v>上缴上级支出</c:v>
                </c:pt>
                <c:pt idx="3">
                  <c:v>经营支出</c:v>
                </c:pt>
                <c:pt idx="4">
                  <c:v>对附属单位补助支出</c:v>
                </c:pt>
              </c:strCache>
            </c:strRef>
          </c:cat>
          <c:val>
            <c:numRef>
              <c:f>[工作簿2]Sheet1!$D$41:$H$41</c:f>
              <c:numCache>
                <c:formatCode>#,##0.00</c:formatCode>
                <c:ptCount val="5"/>
                <c:pt idx="0">
                  <c:v>4867.37</c:v>
                </c:pt>
                <c:pt idx="1">
                  <c:v>12138.28</c:v>
                </c:pt>
                <c:pt idx="2" c:formatCode="General">
                  <c:v>0</c:v>
                </c:pt>
                <c:pt idx="3" c:formatCode="General">
                  <c:v>0</c:v>
                </c:pt>
                <c:pt idx="4" c:formatCode="General">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41435805779"/>
          <c:y val="0.0859850342400425"/>
          <c:w val="0.828922121896162"/>
          <c:h val="0.696065057712487"/>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Sheet1!$A$2:$A$5</c15:sqref>
                  </c15:fullRef>
                </c:ext>
              </c:extLst>
              <c:f>Sheet1!$A$2:$A$3</c:f>
              <c:strCache>
                <c:ptCount val="2"/>
                <c:pt idx="0">
                  <c:v>2023年度</c:v>
                </c:pt>
                <c:pt idx="1">
                  <c:v>2022年度</c:v>
                </c:pt>
              </c:strCache>
            </c:strRef>
          </c:cat>
          <c:val>
            <c:numRef>
              <c:extLst>
                <c:ext xmlns:c15="http://schemas.microsoft.com/office/drawing/2012/chart" uri="{02D57815-91ED-43cb-92C2-25804820EDAC}">
                  <c15:fullRef>
                    <c15:sqref>Sheet1!$B$2:$B$5</c15:sqref>
                  </c15:fullRef>
                </c:ext>
              </c:extLst>
              <c:f>Sheet1!$B$2:$B$3</c:f>
              <c:numCache>
                <c:formatCode>#,##0.00</c:formatCode>
                <c:ptCount val="2"/>
                <c:pt idx="0">
                  <c:v>12271.83</c:v>
                </c:pt>
                <c:pt idx="1" c:formatCode="General">
                  <c:v>9381.19</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2023</c:v>
                      </c:pt>
                    </c:strCache>
                  </c:strRef>
                </c15:tx>
              </c15:filteredSeriesTitle>
            </c:ext>
            <c:ext xmlns:c15="http://schemas.microsoft.com/office/drawing/2012/chart" uri="{02D57815-91ED-43cb-92C2-25804820EDAC}">
              <c15:filteredCategoryTitle>
                <c15:cat>
                  <c:strRef>
                    <c:extLst>
                      <c:ext xmlns:c15="http://schemas.microsoft.com/office/drawing/2012/chart" uri="{02D57815-91ED-43cb-92C2-25804820EDAC}">
                        <c15:fullRef>
                          <c15:sqref>Sheet1!$A$2:$A$5</c15:sqref>
                        </c15:fullRef>
                      </c:ext>
                    </c:extLst>
                    <c:f>Sheet1!$A$2:$A$3</c:f>
                    <c:strCache>
                      <c:ptCount val="2"/>
                      <c:pt idx="0">
                        <c:v>2023年度</c:v>
                      </c:pt>
                      <c:pt idx="1">
                        <c:v>2022年度</c:v>
                      </c:pt>
                    </c:strCache>
                  </c:strRef>
                </c15:cat>
              </c15:filteredCategoryTitle>
            </c:ext>
          </c:extLst>
        </c:ser>
        <c:dLbls>
          <c:showLegendKey val="0"/>
          <c:showVal val="0"/>
          <c:showCatName val="0"/>
          <c:showSerName val="0"/>
          <c:showPercent val="0"/>
          <c:showBubbleSize val="0"/>
        </c:dLbls>
        <c:gapWidth val="219"/>
        <c:overlap val="-27"/>
        <c:axId val="738243459"/>
        <c:axId val="111093485"/>
        <c:extLst>
          <c:ext xmlns:c15="http://schemas.microsoft.com/office/drawing/2012/chart" uri="{02D57815-91ED-43cb-92C2-25804820EDAC}">
            <c15:filteredBarSeries>
              <c15:ser>
                <c:idx val="2"/>
                <c:order val="1"/>
                <c:spPr>
                  <a:solidFill>
                    <a:schemeClr val="accent3"/>
                  </a:solidFill>
                  <a:ln>
                    <a:noFill/>
                  </a:ln>
                  <a:effectLst/>
                </c:spPr>
                <c:invertIfNegative val="0"/>
                <c:dLbls>
                  <c:delete val="1"/>
                </c:dLbls>
                <c:cat>
                  <c:strRef>
                    <c:extLst>
                      <c:ext uri="{02D57815-91ED-43cb-92C2-25804820EDAC}">
                        <c15:fullRef>
                          <c15:sqref>Sheet1!$A$2:$A$5</c15:sqref>
                        </c15:fullRef>
                        <c15:formulaRef>
                          <c15:sqref>Sheet1!$A$2:$A$3</c15:sqref>
                        </c15:formulaRef>
                      </c:ext>
                    </c:extLst>
                    <c:strCache>
                      <c:ptCount val="2"/>
                      <c:pt idx="0">
                        <c:v>2023年度</c:v>
                      </c:pt>
                      <c:pt idx="1">
                        <c:v>2022年度</c:v>
                      </c:pt>
                    </c:strCache>
                  </c:strRef>
                </c:cat>
                <c:val>
                  <c:numRef>
                    <c:extLst>
                      <c:ext uri="{02D57815-91ED-43cb-92C2-25804820EDAC}">
                        <c15:fullRef>
                          <c15:sqref>Sheet1!$C$2:$C$5</c15:sqref>
                        </c15:fullRef>
                        <c15:formulaRef>
                          <c15:sqref>Sheet1!$C$2:$C$3</c15:sqref>
                        </c15:formulaRef>
                      </c:ext>
                    </c:extLst>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2022</c:v>
                            </c:pt>
                          </c:strCache>
                        </c:strRef>
                      </c15:tx>
                    </c15:filteredSeriesTitle>
                  </c:ext>
                  <c:ext xmlns:c15="http://schemas.microsoft.com/office/drawing/2012/chart" uri="{02D57815-91ED-43cb-92C2-25804820EDAC}">
                    <c15:filteredCategoryTitle>
                      <c15:cat>
                        <c:strRef>
                          <c:extLst>
                            <c:ext uri="{02D57815-91ED-43cb-92C2-25804820EDAC}">
                              <c15:fullRef>
                                <c15:sqref>Sheet1!$A$2:$A$5</c15:sqref>
                              </c15:fullRef>
                              <c15:formulaRef>
                                <c15:sqref>Sheet1!$A$2:$A$3</c15:sqref>
                              </c15:formulaRef>
                            </c:ext>
                          </c:extLst>
                          <c:strCache>
                            <c:ptCount val="2"/>
                            <c:pt idx="0">
                              <c:v>2023年度</c:v>
                            </c:pt>
                            <c:pt idx="1">
                              <c:v>2022年度</c:v>
                            </c:pt>
                          </c:strCache>
                        </c:strRef>
                      </c15:cat>
                    </c15:filteredCategoryTitle>
                  </c:ext>
                </c:extLst>
              </c15:ser>
            </c15:filteredBarSeries>
          </c:ext>
        </c:extLst>
      </c:barChart>
      <c:catAx>
        <c:axId val="73824345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1093485"/>
        <c:crosses val="autoZero"/>
        <c:auto val="1"/>
        <c:lblAlgn val="ctr"/>
        <c:lblOffset val="100"/>
        <c:noMultiLvlLbl val="0"/>
      </c:catAx>
      <c:valAx>
        <c:axId val="11109348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82434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dPt>
          <c:dPt>
            <c:idx val="1"/>
            <c:invertIfNegative val="0"/>
            <c:bubble3D val="0"/>
            <c:spPr>
              <a:solidFill>
                <a:schemeClr val="accent5"/>
              </a:solidFill>
              <a:ln>
                <a:noFill/>
              </a:ln>
              <a:effectLst/>
            </c:spPr>
          </c:dPt>
          <c:dPt>
            <c:idx val="2"/>
            <c:invertIfNegative val="0"/>
            <c:bubble3D val="0"/>
            <c:spPr>
              <a:solidFill>
                <a:schemeClr val="accent6"/>
              </a:solidFill>
              <a:ln>
                <a:noFill/>
              </a:ln>
              <a:effectLst/>
            </c:spPr>
          </c:dPt>
          <c:dPt>
            <c:idx val="3"/>
            <c:invertIfNegative val="0"/>
            <c:bubble3D val="0"/>
            <c:spPr>
              <a:solidFill>
                <a:schemeClr val="tx1">
                  <a:lumMod val="95000"/>
                  <a:lumOff val="5000"/>
                </a:schemeClr>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[工作簿2]Sheet2!$A$1:$D$1</c:f>
              <c:strCache>
                <c:ptCount val="4"/>
                <c:pt idx="0">
                  <c:v>财政拨款收入决算数</c:v>
                </c:pt>
                <c:pt idx="1">
                  <c:v>财政拨款收入年初预算数</c:v>
                </c:pt>
                <c:pt idx="2">
                  <c:v>财政拨款支出决算数</c:v>
                </c:pt>
                <c:pt idx="3">
                  <c:v>财政拨款支出年初预算数</c:v>
                </c:pt>
              </c:strCache>
            </c:strRef>
          </c:cat>
          <c:val>
            <c:numRef>
              <c:f>[工作簿2]Sheet2!$A$2:$D$2</c:f>
              <c:numCache>
                <c:formatCode>#,##0.00</c:formatCode>
                <c:ptCount val="4"/>
                <c:pt idx="0">
                  <c:v>12271.83</c:v>
                </c:pt>
                <c:pt idx="1" c:formatCode="General">
                  <c:v>12137.67</c:v>
                </c:pt>
                <c:pt idx="2">
                  <c:v>12271.83</c:v>
                </c:pt>
                <c:pt idx="3">
                  <c:v>12277.29</c:v>
                </c:pt>
              </c:numCache>
            </c:numRef>
          </c:val>
        </c:ser>
        <c:dLbls>
          <c:showLegendKey val="0"/>
          <c:showVal val="1"/>
          <c:showCatName val="0"/>
          <c:showSerName val="0"/>
          <c:showPercent val="0"/>
          <c:showBubbleSize val="0"/>
        </c:dLbls>
        <c:gapWidth val="219"/>
        <c:overlap val="-27"/>
        <c:axId val="694916672"/>
        <c:axId val="75162809"/>
      </c:barChart>
      <c:catAx>
        <c:axId val="694916672"/>
        <c:scaling>
          <c:orientation val="minMax"/>
        </c:scaling>
        <c:delete val="1"/>
        <c:axPos val="b"/>
        <c:majorTickMark val="none"/>
        <c:minorTickMark val="none"/>
        <c:tickLblPos val="nextTo"/>
        <c:txPr>
          <a:bodyPr rot="-60000000" spcFirstLastPara="0" vertOverflow="ellipsis" vert="horz" wrap="square" anchor="t" anchorCtr="0"/>
          <a:lstStyle/>
          <a:p>
            <a:pPr>
              <a:defRPr lang="zh-CN" sz="900" b="0" i="0" u="none" strike="noStrike" kern="1200" baseline="0">
                <a:solidFill>
                  <a:schemeClr val="dk1"/>
                </a:solidFill>
                <a:latin typeface="+mn-lt"/>
                <a:ea typeface="+mn-ea"/>
                <a:cs typeface="+mn-cs"/>
              </a:defRPr>
            </a:pPr>
          </a:p>
        </c:txPr>
        <c:crossAx val="75162809"/>
        <c:crosses val="autoZero"/>
        <c:auto val="1"/>
        <c:lblAlgn val="ctr"/>
        <c:lblOffset val="100"/>
        <c:noMultiLvlLbl val="0"/>
      </c:catAx>
      <c:valAx>
        <c:axId val="7516280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dk1"/>
                </a:solidFill>
                <a:latin typeface="+mn-lt"/>
                <a:ea typeface="+mn-ea"/>
                <a:cs typeface="+mn-cs"/>
              </a:defRPr>
            </a:pPr>
          </a:p>
        </c:txPr>
        <c:crossAx val="69491667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dk1"/>
              </a:solidFill>
              <a:latin typeface="+mn-lt"/>
              <a:ea typeface="+mn-ea"/>
              <a:cs typeface="+mn-cs"/>
            </a:defRPr>
          </a:pPr>
        </a:p>
      </c:txPr>
    </c:legend>
    <c:plotVisOnly val="1"/>
    <c:dispBlanksAs val="gap"/>
    <c:showDLblsOverMax val="0"/>
  </c:chart>
  <c:spPr>
    <a:solidFill>
      <a:schemeClr val="lt1"/>
    </a:solidFill>
    <a:ln w="12700" cap="flat" cmpd="sng" algn="ctr">
      <a:solidFill>
        <a:schemeClr val="dk1"/>
      </a:solidFill>
      <a:prstDash val="solid"/>
      <a:miter lim="800000"/>
    </a:ln>
    <a:effectLst/>
    <a:sp3d>
      <a:extrusionClr>
        <a:srgbClr val="FFFFFF"/>
      </a:extrusionClr>
      <a:contourClr>
        <a:srgbClr val="FFFFFF"/>
      </a:contourClr>
    </a:sp3d>
  </c:spPr>
  <c:txPr>
    <a:bodyPr/>
    <a:lstStyle/>
    <a:p>
      <a:pPr>
        <a:defRPr lang="zh-CN">
          <a:solidFill>
            <a:schemeClr val="dk1"/>
          </a:solidFill>
          <a:latin typeface="+mn-lt"/>
          <a:ea typeface="+mn-ea"/>
          <a:cs typeface="+mn-cs"/>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dPt>
          <c:dPt>
            <c:idx val="7"/>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dPt>
          <c:dPt>
            <c:idx val="8"/>
            <c:bubble3D val="0"/>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dPt>
          <c:dPt>
            <c:idx val="9"/>
            <c:bubble3D val="0"/>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dPt>
          <c:dPt>
            <c:idx val="10"/>
            <c:bubble3D val="0"/>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dPt>
          <c:dPt>
            <c:idx val="11"/>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dPt>
          <c:dPt>
            <c:idx val="12"/>
            <c:bubble3D val="0"/>
            <c:spPr>
              <a:gradFill rotWithShape="1">
                <a:gsLst>
                  <a:gs pos="0">
                    <a:schemeClr val="accent1">
                      <a:lumMod val="80000"/>
                      <a:lumOff val="20000"/>
                      <a:lumMod val="110000"/>
                      <a:satMod val="105000"/>
                      <a:tint val="67000"/>
                    </a:schemeClr>
                  </a:gs>
                  <a:gs pos="50000">
                    <a:schemeClr val="accent1">
                      <a:lumMod val="80000"/>
                      <a:lumOff val="20000"/>
                      <a:lumMod val="105000"/>
                      <a:satMod val="103000"/>
                      <a:tint val="73000"/>
                    </a:schemeClr>
                  </a:gs>
                  <a:gs pos="100000">
                    <a:schemeClr val="accent1">
                      <a:lumMod val="80000"/>
                      <a:lumOff val="20000"/>
                      <a:lumMod val="105000"/>
                      <a:satMod val="109000"/>
                      <a:tint val="81000"/>
                    </a:schemeClr>
                  </a:gs>
                </a:gsLst>
                <a:lin ang="5400000" scaled="0"/>
              </a:gradFill>
              <a:ln w="9525" cap="flat" cmpd="sng" algn="ctr">
                <a:solidFill>
                  <a:schemeClr val="accent1">
                    <a:lumMod val="80000"/>
                    <a:lumOff val="20000"/>
                    <a:shade val="95000"/>
                  </a:schemeClr>
                </a:solidFill>
                <a:round/>
              </a:ln>
              <a:effectLst/>
            </c:spPr>
          </c:dPt>
          <c:dPt>
            <c:idx val="13"/>
            <c:bubble3D val="0"/>
            <c:spPr>
              <a:gradFill rotWithShape="1">
                <a:gsLst>
                  <a:gs pos="0">
                    <a:schemeClr val="accent2">
                      <a:lumMod val="80000"/>
                      <a:lumOff val="20000"/>
                      <a:lumMod val="110000"/>
                      <a:satMod val="105000"/>
                      <a:tint val="67000"/>
                    </a:schemeClr>
                  </a:gs>
                  <a:gs pos="50000">
                    <a:schemeClr val="accent2">
                      <a:lumMod val="80000"/>
                      <a:lumOff val="20000"/>
                      <a:lumMod val="105000"/>
                      <a:satMod val="103000"/>
                      <a:tint val="73000"/>
                    </a:schemeClr>
                  </a:gs>
                  <a:gs pos="100000">
                    <a:schemeClr val="accent2">
                      <a:lumMod val="80000"/>
                      <a:lumOff val="20000"/>
                      <a:lumMod val="105000"/>
                      <a:satMod val="109000"/>
                      <a:tint val="81000"/>
                    </a:schemeClr>
                  </a:gs>
                </a:gsLst>
                <a:lin ang="5400000" scaled="0"/>
              </a:gradFill>
              <a:ln w="9525" cap="flat" cmpd="sng" algn="ctr">
                <a:solidFill>
                  <a:schemeClr val="accent2">
                    <a:lumMod val="80000"/>
                    <a:lumOff val="20000"/>
                    <a:shade val="95000"/>
                  </a:schemeClr>
                </a:solidFill>
                <a:round/>
              </a:ln>
              <a:effectLst/>
            </c:spPr>
          </c:dPt>
          <c:dPt>
            <c:idx val="14"/>
            <c:bubble3D val="0"/>
            <c:spPr>
              <a:gradFill rotWithShape="1">
                <a:gsLst>
                  <a:gs pos="0">
                    <a:schemeClr val="accent3">
                      <a:lumMod val="80000"/>
                      <a:lumOff val="20000"/>
                      <a:lumMod val="110000"/>
                      <a:satMod val="105000"/>
                      <a:tint val="67000"/>
                    </a:schemeClr>
                  </a:gs>
                  <a:gs pos="50000">
                    <a:schemeClr val="accent3">
                      <a:lumMod val="80000"/>
                      <a:lumOff val="20000"/>
                      <a:lumMod val="105000"/>
                      <a:satMod val="103000"/>
                      <a:tint val="73000"/>
                    </a:schemeClr>
                  </a:gs>
                  <a:gs pos="100000">
                    <a:schemeClr val="accent3">
                      <a:lumMod val="80000"/>
                      <a:lumOff val="20000"/>
                      <a:lumMod val="105000"/>
                      <a:satMod val="109000"/>
                      <a:tint val="81000"/>
                    </a:schemeClr>
                  </a:gs>
                </a:gsLst>
                <a:lin ang="5400000" scaled="0"/>
              </a:gradFill>
              <a:ln w="9525" cap="flat" cmpd="sng" algn="ctr">
                <a:solidFill>
                  <a:schemeClr val="accent3">
                    <a:lumMod val="80000"/>
                    <a:lumOff val="20000"/>
                    <a:shade val="95000"/>
                  </a:schemeClr>
                </a:solidFill>
                <a:round/>
              </a:ln>
              <a:effectLst/>
            </c:spPr>
          </c:dPt>
          <c:dPt>
            <c:idx val="15"/>
            <c:bubble3D val="0"/>
            <c:spPr>
              <a:gradFill rotWithShape="1">
                <a:gsLst>
                  <a:gs pos="0">
                    <a:schemeClr val="accent4">
                      <a:lumMod val="80000"/>
                      <a:lumOff val="20000"/>
                      <a:lumMod val="110000"/>
                      <a:satMod val="105000"/>
                      <a:tint val="67000"/>
                    </a:schemeClr>
                  </a:gs>
                  <a:gs pos="50000">
                    <a:schemeClr val="accent4">
                      <a:lumMod val="80000"/>
                      <a:lumOff val="20000"/>
                      <a:lumMod val="105000"/>
                      <a:satMod val="103000"/>
                      <a:tint val="73000"/>
                    </a:schemeClr>
                  </a:gs>
                  <a:gs pos="100000">
                    <a:schemeClr val="accent4">
                      <a:lumMod val="80000"/>
                      <a:lumOff val="20000"/>
                      <a:lumMod val="105000"/>
                      <a:satMod val="109000"/>
                      <a:tint val="81000"/>
                    </a:schemeClr>
                  </a:gs>
                </a:gsLst>
                <a:lin ang="5400000" scaled="0"/>
              </a:gradFill>
              <a:ln w="9525" cap="flat" cmpd="sng" algn="ctr">
                <a:solidFill>
                  <a:schemeClr val="accent4">
                    <a:lumMod val="80000"/>
                    <a:lumOff val="20000"/>
                    <a:shade val="95000"/>
                  </a:schemeClr>
                </a:solidFill>
                <a:round/>
              </a:ln>
              <a:effectLst/>
            </c:spPr>
          </c:dPt>
          <c:dPt>
            <c:idx val="16"/>
            <c:bubble3D val="0"/>
            <c:spPr>
              <a:gradFill rotWithShape="1">
                <a:gsLst>
                  <a:gs pos="0">
                    <a:schemeClr val="accent5">
                      <a:lumMod val="80000"/>
                      <a:lumOff val="20000"/>
                      <a:lumMod val="110000"/>
                      <a:satMod val="105000"/>
                      <a:tint val="67000"/>
                    </a:schemeClr>
                  </a:gs>
                  <a:gs pos="50000">
                    <a:schemeClr val="accent5">
                      <a:lumMod val="80000"/>
                      <a:lumOff val="20000"/>
                      <a:lumMod val="105000"/>
                      <a:satMod val="103000"/>
                      <a:tint val="73000"/>
                    </a:schemeClr>
                  </a:gs>
                  <a:gs pos="100000">
                    <a:schemeClr val="accent5">
                      <a:lumMod val="80000"/>
                      <a:lumOff val="20000"/>
                      <a:lumMod val="105000"/>
                      <a:satMod val="109000"/>
                      <a:tint val="81000"/>
                    </a:schemeClr>
                  </a:gs>
                </a:gsLst>
                <a:lin ang="5400000" scaled="0"/>
              </a:gradFill>
              <a:ln w="9525" cap="flat" cmpd="sng" algn="ctr">
                <a:solidFill>
                  <a:schemeClr val="accent5">
                    <a:lumMod val="80000"/>
                    <a:lumOff val="20000"/>
                    <a:shade val="95000"/>
                  </a:schemeClr>
                </a:solidFill>
                <a:round/>
              </a:ln>
              <a:effectLst/>
            </c:spPr>
          </c:dPt>
          <c:dPt>
            <c:idx val="17"/>
            <c:bubble3D val="0"/>
            <c:spPr>
              <a:gradFill rotWithShape="1">
                <a:gsLst>
                  <a:gs pos="0">
                    <a:schemeClr val="accent6">
                      <a:lumMod val="80000"/>
                      <a:lumOff val="20000"/>
                      <a:lumMod val="110000"/>
                      <a:satMod val="105000"/>
                      <a:tint val="67000"/>
                    </a:schemeClr>
                  </a:gs>
                  <a:gs pos="50000">
                    <a:schemeClr val="accent6">
                      <a:lumMod val="80000"/>
                      <a:lumOff val="20000"/>
                      <a:lumMod val="105000"/>
                      <a:satMod val="103000"/>
                      <a:tint val="73000"/>
                    </a:schemeClr>
                  </a:gs>
                  <a:gs pos="100000">
                    <a:schemeClr val="accent6">
                      <a:lumMod val="80000"/>
                      <a:lumOff val="20000"/>
                      <a:lumMod val="105000"/>
                      <a:satMod val="109000"/>
                      <a:tint val="81000"/>
                    </a:schemeClr>
                  </a:gs>
                </a:gsLst>
                <a:lin ang="5400000" scaled="0"/>
              </a:gradFill>
              <a:ln w="9525" cap="flat" cmpd="sng" algn="ctr">
                <a:solidFill>
                  <a:schemeClr val="accent6">
                    <a:lumMod val="80000"/>
                    <a:lumOff val="20000"/>
                    <a:shade val="95000"/>
                  </a:schemeClr>
                </a:solidFill>
                <a:round/>
              </a:ln>
              <a:effectLst/>
            </c:spPr>
          </c:dPt>
          <c:dPt>
            <c:idx val="18"/>
            <c:bubble3D val="0"/>
            <c:spPr>
              <a:gradFill rotWithShape="1">
                <a:gsLst>
                  <a:gs pos="0">
                    <a:schemeClr val="accent1">
                      <a:lumMod val="80000"/>
                      <a:lumMod val="110000"/>
                      <a:satMod val="105000"/>
                      <a:tint val="67000"/>
                    </a:schemeClr>
                  </a:gs>
                  <a:gs pos="50000">
                    <a:schemeClr val="accent1">
                      <a:lumMod val="80000"/>
                      <a:lumMod val="105000"/>
                      <a:satMod val="103000"/>
                      <a:tint val="73000"/>
                    </a:schemeClr>
                  </a:gs>
                  <a:gs pos="100000">
                    <a:schemeClr val="accent1">
                      <a:lumMod val="80000"/>
                      <a:lumMod val="105000"/>
                      <a:satMod val="109000"/>
                      <a:tint val="81000"/>
                    </a:schemeClr>
                  </a:gs>
                </a:gsLst>
                <a:lin ang="5400000" scaled="0"/>
              </a:gradFill>
              <a:ln w="9525" cap="flat" cmpd="sng" algn="ctr">
                <a:solidFill>
                  <a:schemeClr val="accent1">
                    <a:lumMod val="80000"/>
                    <a:shade val="95000"/>
                  </a:schemeClr>
                </a:solidFill>
                <a:round/>
              </a:ln>
              <a:effectLst/>
            </c:spPr>
          </c:dPt>
          <c:dPt>
            <c:idx val="19"/>
            <c:bubble3D val="0"/>
            <c:spPr>
              <a:gradFill rotWithShape="1">
                <a:gsLst>
                  <a:gs pos="0">
                    <a:schemeClr val="accent2">
                      <a:lumMod val="80000"/>
                      <a:lumMod val="110000"/>
                      <a:satMod val="105000"/>
                      <a:tint val="67000"/>
                    </a:schemeClr>
                  </a:gs>
                  <a:gs pos="50000">
                    <a:schemeClr val="accent2">
                      <a:lumMod val="80000"/>
                      <a:lumMod val="105000"/>
                      <a:satMod val="103000"/>
                      <a:tint val="73000"/>
                    </a:schemeClr>
                  </a:gs>
                  <a:gs pos="100000">
                    <a:schemeClr val="accent2">
                      <a:lumMod val="80000"/>
                      <a:lumMod val="105000"/>
                      <a:satMod val="109000"/>
                      <a:tint val="81000"/>
                    </a:schemeClr>
                  </a:gs>
                </a:gsLst>
                <a:lin ang="5400000" scaled="0"/>
              </a:gradFill>
              <a:ln w="9525" cap="flat" cmpd="sng" algn="ctr">
                <a:solidFill>
                  <a:schemeClr val="accent2">
                    <a:lumMod val="80000"/>
                    <a:shade val="95000"/>
                  </a:schemeClr>
                </a:solidFill>
                <a:round/>
              </a:ln>
              <a:effectLst/>
            </c:spPr>
          </c:dPt>
          <c:dPt>
            <c:idx val="20"/>
            <c:bubble3D val="0"/>
            <c:spPr>
              <a:gradFill rotWithShape="1">
                <a:gsLst>
                  <a:gs pos="0">
                    <a:schemeClr val="accent3">
                      <a:lumMod val="80000"/>
                      <a:lumMod val="110000"/>
                      <a:satMod val="105000"/>
                      <a:tint val="67000"/>
                    </a:schemeClr>
                  </a:gs>
                  <a:gs pos="50000">
                    <a:schemeClr val="accent3">
                      <a:lumMod val="80000"/>
                      <a:lumMod val="105000"/>
                      <a:satMod val="103000"/>
                      <a:tint val="73000"/>
                    </a:schemeClr>
                  </a:gs>
                  <a:gs pos="100000">
                    <a:schemeClr val="accent3">
                      <a:lumMod val="80000"/>
                      <a:lumMod val="105000"/>
                      <a:satMod val="109000"/>
                      <a:tint val="81000"/>
                    </a:schemeClr>
                  </a:gs>
                </a:gsLst>
                <a:lin ang="5400000" scaled="0"/>
              </a:gradFill>
              <a:ln w="9525" cap="flat" cmpd="sng" algn="ctr">
                <a:solidFill>
                  <a:schemeClr val="accent3">
                    <a:lumMod val="80000"/>
                    <a:shade val="95000"/>
                  </a:schemeClr>
                </a:solidFill>
                <a:round/>
              </a:ln>
              <a:effectLst/>
            </c:spPr>
          </c:dPt>
          <c:dPt>
            <c:idx val="21"/>
            <c:bubble3D val="0"/>
            <c:spPr>
              <a:gradFill rotWithShape="1">
                <a:gsLst>
                  <a:gs pos="0">
                    <a:schemeClr val="accent4">
                      <a:lumMod val="80000"/>
                      <a:lumMod val="110000"/>
                      <a:satMod val="105000"/>
                      <a:tint val="67000"/>
                    </a:schemeClr>
                  </a:gs>
                  <a:gs pos="50000">
                    <a:schemeClr val="accent4">
                      <a:lumMod val="80000"/>
                      <a:lumMod val="105000"/>
                      <a:satMod val="103000"/>
                      <a:tint val="73000"/>
                    </a:schemeClr>
                  </a:gs>
                  <a:gs pos="100000">
                    <a:schemeClr val="accent4">
                      <a:lumMod val="80000"/>
                      <a:lumMod val="105000"/>
                      <a:satMod val="109000"/>
                      <a:tint val="81000"/>
                    </a:schemeClr>
                  </a:gs>
                </a:gsLst>
                <a:lin ang="5400000" scaled="0"/>
              </a:gradFill>
              <a:ln w="9525" cap="flat" cmpd="sng" algn="ctr">
                <a:solidFill>
                  <a:schemeClr val="accent4">
                    <a:lumMod val="80000"/>
                    <a:shade val="95000"/>
                  </a:schemeClr>
                </a:solidFill>
                <a:round/>
              </a:ln>
              <a:effectLst/>
            </c:spPr>
          </c:dPt>
          <c:dPt>
            <c:idx val="22"/>
            <c:bubble3D val="0"/>
            <c:spPr>
              <a:gradFill rotWithShape="1">
                <a:gsLst>
                  <a:gs pos="0">
                    <a:schemeClr val="accent5">
                      <a:lumMod val="80000"/>
                      <a:lumMod val="110000"/>
                      <a:satMod val="105000"/>
                      <a:tint val="67000"/>
                    </a:schemeClr>
                  </a:gs>
                  <a:gs pos="50000">
                    <a:schemeClr val="accent5">
                      <a:lumMod val="80000"/>
                      <a:lumMod val="105000"/>
                      <a:satMod val="103000"/>
                      <a:tint val="73000"/>
                    </a:schemeClr>
                  </a:gs>
                  <a:gs pos="100000">
                    <a:schemeClr val="accent5">
                      <a:lumMod val="80000"/>
                      <a:lumMod val="105000"/>
                      <a:satMod val="109000"/>
                      <a:tint val="81000"/>
                    </a:schemeClr>
                  </a:gs>
                </a:gsLst>
                <a:lin ang="5400000" scaled="0"/>
              </a:gradFill>
              <a:ln w="9525" cap="flat" cmpd="sng" algn="ctr">
                <a:solidFill>
                  <a:schemeClr val="accent5">
                    <a:lumMod val="80000"/>
                    <a:shade val="95000"/>
                  </a:schemeClr>
                </a:solidFill>
                <a:round/>
              </a:ln>
              <a:effectLst/>
            </c:spPr>
          </c:dPt>
          <c:dPt>
            <c:idx val="23"/>
            <c:bubble3D val="0"/>
            <c:spPr>
              <a:gradFill rotWithShape="1">
                <a:gsLst>
                  <a:gs pos="0">
                    <a:schemeClr val="accent6">
                      <a:lumMod val="80000"/>
                      <a:lumMod val="110000"/>
                      <a:satMod val="105000"/>
                      <a:tint val="67000"/>
                    </a:schemeClr>
                  </a:gs>
                  <a:gs pos="50000">
                    <a:schemeClr val="accent6">
                      <a:lumMod val="80000"/>
                      <a:lumMod val="105000"/>
                      <a:satMod val="103000"/>
                      <a:tint val="73000"/>
                    </a:schemeClr>
                  </a:gs>
                  <a:gs pos="100000">
                    <a:schemeClr val="accent6">
                      <a:lumMod val="80000"/>
                      <a:lumMod val="105000"/>
                      <a:satMod val="109000"/>
                      <a:tint val="81000"/>
                    </a:schemeClr>
                  </a:gs>
                </a:gsLst>
                <a:lin ang="5400000" scaled="0"/>
              </a:gradFill>
              <a:ln w="9525" cap="flat" cmpd="sng" algn="ctr">
                <a:solidFill>
                  <a:schemeClr val="accent6">
                    <a:lumMod val="80000"/>
                    <a:shade val="95000"/>
                  </a:schemeClr>
                </a:solidFill>
                <a:round/>
              </a:ln>
              <a:effectLst/>
            </c:spPr>
          </c:dPt>
          <c:dPt>
            <c:idx val="24"/>
            <c:bubble3D val="0"/>
            <c:spPr>
              <a:gradFill rotWithShape="1">
                <a:gsLst>
                  <a:gs pos="0">
                    <a:schemeClr val="accent1">
                      <a:lumMod val="60000"/>
                      <a:lumOff val="40000"/>
                      <a:lumMod val="110000"/>
                      <a:satMod val="105000"/>
                      <a:tint val="67000"/>
                    </a:schemeClr>
                  </a:gs>
                  <a:gs pos="50000">
                    <a:schemeClr val="accent1">
                      <a:lumMod val="60000"/>
                      <a:lumOff val="40000"/>
                      <a:lumMod val="105000"/>
                      <a:satMod val="103000"/>
                      <a:tint val="73000"/>
                    </a:schemeClr>
                  </a:gs>
                  <a:gs pos="100000">
                    <a:schemeClr val="accent1">
                      <a:lumMod val="60000"/>
                      <a:lumOff val="40000"/>
                      <a:lumMod val="105000"/>
                      <a:satMod val="109000"/>
                      <a:tint val="81000"/>
                    </a:schemeClr>
                  </a:gs>
                </a:gsLst>
                <a:lin ang="5400000" scaled="0"/>
              </a:gradFill>
              <a:ln w="9525" cap="flat" cmpd="sng" algn="ctr">
                <a:solidFill>
                  <a:schemeClr val="accent1">
                    <a:lumMod val="60000"/>
                    <a:lumOff val="40000"/>
                    <a:shade val="95000"/>
                  </a:schemeClr>
                </a:solidFill>
                <a:round/>
              </a:ln>
              <a:effectLst/>
            </c:spPr>
          </c:dPt>
          <c:dPt>
            <c:idx val="25"/>
            <c:bubble3D val="0"/>
            <c:spPr>
              <a:gradFill rotWithShape="1">
                <a:gsLst>
                  <a:gs pos="0">
                    <a:schemeClr val="accent2">
                      <a:lumMod val="60000"/>
                      <a:lumOff val="40000"/>
                      <a:lumMod val="110000"/>
                      <a:satMod val="105000"/>
                      <a:tint val="67000"/>
                    </a:schemeClr>
                  </a:gs>
                  <a:gs pos="50000">
                    <a:schemeClr val="accent2">
                      <a:lumMod val="60000"/>
                      <a:lumOff val="40000"/>
                      <a:lumMod val="105000"/>
                      <a:satMod val="103000"/>
                      <a:tint val="73000"/>
                    </a:schemeClr>
                  </a:gs>
                  <a:gs pos="100000">
                    <a:schemeClr val="accent2">
                      <a:lumMod val="60000"/>
                      <a:lumOff val="40000"/>
                      <a:lumMod val="105000"/>
                      <a:satMod val="109000"/>
                      <a:tint val="81000"/>
                    </a:schemeClr>
                  </a:gs>
                </a:gsLst>
                <a:lin ang="5400000" scaled="0"/>
              </a:gradFill>
              <a:ln w="9525" cap="flat" cmpd="sng" algn="ctr">
                <a:solidFill>
                  <a:schemeClr val="accent2">
                    <a:lumMod val="60000"/>
                    <a:lumOff val="40000"/>
                    <a:shade val="95000"/>
                  </a:schemeClr>
                </a:solidFill>
                <a:round/>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[工作簿2]Sheet3!$D$44:$D$69</c:f>
              <c:strCache>
                <c:ptCount val="26"/>
                <c:pt idx="0">
                  <c:v>一、一般公共服务支出</c:v>
                </c:pt>
                <c:pt idx="1">
                  <c:v>二、外交支出</c:v>
                </c:pt>
                <c:pt idx="2">
                  <c:v>三、国防支出</c:v>
                </c:pt>
                <c:pt idx="3">
                  <c:v>四、公共安全支出</c:v>
                </c:pt>
                <c:pt idx="4">
                  <c:v>五、教育支出</c:v>
                </c:pt>
                <c:pt idx="5">
                  <c:v>六、科学技术支出</c:v>
                </c:pt>
                <c:pt idx="6">
                  <c:v>七、文化旅游体育与传媒支出</c:v>
                </c:pt>
                <c:pt idx="7">
                  <c:v>八、社会保障和就业支出</c:v>
                </c:pt>
                <c:pt idx="8">
                  <c:v>九、卫生健康支出</c:v>
                </c:pt>
                <c:pt idx="9">
                  <c:v>十、节能环保支出</c:v>
                </c:pt>
                <c:pt idx="10">
                  <c:v>十一、城乡社区支出</c:v>
                </c:pt>
                <c:pt idx="11">
                  <c:v>十二、农林水支出</c:v>
                </c:pt>
                <c:pt idx="12">
                  <c:v>十三、交通运输支出</c:v>
                </c:pt>
                <c:pt idx="13">
                  <c:v>十四、资源勘探工业信息等支出</c:v>
                </c:pt>
                <c:pt idx="14">
                  <c:v>十五、商业服务业等支出</c:v>
                </c:pt>
                <c:pt idx="15">
                  <c:v>十六、金融支出</c:v>
                </c:pt>
                <c:pt idx="16">
                  <c:v>十七、援助其他地区支出</c:v>
                </c:pt>
                <c:pt idx="17">
                  <c:v>十八、自然资源海洋气象等支出</c:v>
                </c:pt>
                <c:pt idx="18">
                  <c:v>十九、住房保障支出</c:v>
                </c:pt>
                <c:pt idx="19">
                  <c:v>二十、粮油物资储备支出</c:v>
                </c:pt>
                <c:pt idx="20">
                  <c:v>二十一、国有资本经营预算支出</c:v>
                </c:pt>
                <c:pt idx="21">
                  <c:v>二十二、灾害防治及应急管理支出</c:v>
                </c:pt>
                <c:pt idx="22">
                  <c:v>二十三、其他支出</c:v>
                </c:pt>
                <c:pt idx="23">
                  <c:v>二十四、债务还本支出</c:v>
                </c:pt>
                <c:pt idx="24">
                  <c:v>二十五、债务付息支出</c:v>
                </c:pt>
                <c:pt idx="25">
                  <c:v>二十六、抗疫特别国债安排的支出</c:v>
                </c:pt>
              </c:strCache>
            </c:strRef>
          </c:cat>
          <c:val>
            <c:numRef>
              <c:f>[工作簿2]Sheet3!$E$44:$E$69</c:f>
              <c:numCache>
                <c:formatCode>General</c:formatCode>
                <c:ptCount val="26"/>
                <c:pt idx="0">
                  <c:v>0</c:v>
                </c:pt>
                <c:pt idx="1">
                  <c:v>0</c:v>
                </c:pt>
                <c:pt idx="2">
                  <c:v>0</c:v>
                </c:pt>
                <c:pt idx="3">
                  <c:v>0</c:v>
                </c:pt>
                <c:pt idx="4" c:formatCode="#,##0.00">
                  <c:v>12254.83</c:v>
                </c:pt>
                <c:pt idx="5">
                  <c:v>0</c:v>
                </c:pt>
                <c:pt idx="6">
                  <c:v>0</c:v>
                </c:pt>
                <c:pt idx="7">
                  <c:v>0</c:v>
                </c:pt>
                <c:pt idx="8">
                  <c:v>0</c:v>
                </c:pt>
                <c:pt idx="9">
                  <c:v>0</c:v>
                </c:pt>
                <c:pt idx="10">
                  <c:v>0</c:v>
                </c:pt>
                <c:pt idx="11">
                  <c:v>0</c:v>
                </c:pt>
                <c:pt idx="12">
                  <c:v>0</c:v>
                </c:pt>
                <c:pt idx="13">
                  <c:v>0</c:v>
                </c:pt>
                <c:pt idx="14">
                  <c:v>0</c:v>
                </c:pt>
                <c:pt idx="15">
                  <c:v>0</c:v>
                </c:pt>
                <c:pt idx="16">
                  <c:v>0</c:v>
                </c:pt>
                <c:pt idx="17">
                  <c:v>17</c:v>
                </c:pt>
                <c:pt idx="18">
                  <c:v>0</c:v>
                </c:pt>
                <c:pt idx="19">
                  <c:v>0</c:v>
                </c:pt>
                <c:pt idx="20">
                  <c:v>0</c:v>
                </c:pt>
                <c:pt idx="21">
                  <c:v>0</c:v>
                </c:pt>
                <c:pt idx="22">
                  <c:v>0</c:v>
                </c:pt>
                <c:pt idx="23">
                  <c:v>0</c:v>
                </c:pt>
                <c:pt idx="24">
                  <c:v>0</c:v>
                </c:pt>
                <c:pt idx="2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038130923517743"/>
          <c:y val="0.350207782395164"/>
          <c:w val="0.894093013004188"/>
          <c:h val="0.60540234227427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41</Pages>
  <Words>11566</Words>
  <Characters>13814</Characters>
  <Lines>86</Lines>
  <Paragraphs>24</Paragraphs>
  <TotalTime>5</TotalTime>
  <ScaleCrop>false</ScaleCrop>
  <LinksUpToDate>false</LinksUpToDate>
  <CharactersWithSpaces>14678</CharactersWithSpaces>
  <Application>WPS Office_11.8.2.12011_F1E327BC-269C-435d-A152-05C5408002CA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我有养动物的心</cp:lastModifiedBy>
  <cp:lastPrinted>2023-08-04T01:00:00Z</cp:lastPrinted>
  <dcterms:modified xsi:type="dcterms:W3CDTF">2024-08-06T07:28:38Z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2052-11.8.2.12011</vt:lpwstr>
  </property>
  <property fmtid="{D5CDD505-2E9C-101B-9397-08002B2CF9AE}" pid="3" name="ICV">
    <vt:lpwstr>769C69C449794375B15017B00B75DBCE</vt:lpwstr>
  </property>
  <property fmtid="{D5CDD505-2E9C-101B-9397-08002B2CF9AE}" pid="4" name="KSOTemplateUUID">
    <vt:lpwstr>v1.0_mb_S7ajbG3IpAnL1wSthNCxfw==</vt:lpwstr>
  </property>
</Properties>
</file>